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jc w:val="both"/>
        <w:rPr>
          <w:rFonts w:ascii="宋体" w:hAnsi="宋体" w:cs="STXinwei-Identity-H"/>
          <w:b/>
          <w:bCs/>
          <w:sz w:val="44"/>
          <w:szCs w:val="44"/>
        </w:rPr>
      </w:pPr>
    </w:p>
    <w:p>
      <w:pPr>
        <w:jc w:val="center"/>
        <w:rPr>
          <w:rFonts w:hint="eastAsia" w:ascii="宋体" w:hAnsi="宋体" w:cs="宋体"/>
        </w:rPr>
      </w:pPr>
    </w:p>
    <w:p>
      <w:pPr>
        <w:spacing w:line="760" w:lineRule="exact"/>
        <w:jc w:val="center"/>
        <w:rPr>
          <w:rFonts w:hint="eastAsia" w:ascii="黑体" w:hAnsi="黑体" w:eastAsia="黑体" w:cs="黑体"/>
          <w:b/>
          <w:sz w:val="52"/>
          <w:szCs w:val="52"/>
        </w:rPr>
      </w:pPr>
    </w:p>
    <w:p>
      <w:pPr>
        <w:spacing w:line="760" w:lineRule="exact"/>
        <w:jc w:val="center"/>
        <w:rPr>
          <w:rFonts w:hint="eastAsia" w:ascii="黑体" w:hAnsi="黑体" w:eastAsia="黑体" w:cs="黑体"/>
          <w:b/>
          <w:sz w:val="40"/>
          <w:szCs w:val="40"/>
          <w:lang w:val="en-US" w:eastAsia="zh-CN"/>
        </w:rPr>
      </w:pPr>
      <w:r>
        <w:rPr>
          <w:rFonts w:hint="eastAsia" w:ascii="黑体" w:hAnsi="黑体" w:eastAsia="黑体" w:cs="黑体"/>
          <w:b/>
          <w:sz w:val="40"/>
          <w:szCs w:val="40"/>
        </w:rPr>
        <w:t>201</w:t>
      </w:r>
      <w:r>
        <w:rPr>
          <w:rFonts w:hint="eastAsia" w:ascii="黑体" w:hAnsi="黑体" w:eastAsia="黑体" w:cs="黑体"/>
          <w:b/>
          <w:sz w:val="40"/>
          <w:szCs w:val="40"/>
          <w:lang w:val="en-US" w:eastAsia="zh-CN"/>
        </w:rPr>
        <w:t>9</w:t>
      </w:r>
      <w:r>
        <w:rPr>
          <w:rFonts w:hint="eastAsia" w:ascii="黑体" w:hAnsi="黑体" w:eastAsia="黑体" w:cs="黑体"/>
          <w:sz w:val="21"/>
          <w:szCs w:val="21"/>
        </w:rPr>
        <mc:AlternateContent>
          <mc:Choice Requires="wps">
            <w:drawing>
              <wp:anchor distT="0" distB="0" distL="114300" distR="114300" simplePos="0" relativeHeight="251658240" behindDoc="0" locked="0" layoutInCell="1" allowOverlap="1">
                <wp:simplePos x="0" y="0"/>
                <wp:positionH relativeFrom="column">
                  <wp:posOffset>-780415</wp:posOffset>
                </wp:positionH>
                <wp:positionV relativeFrom="paragraph">
                  <wp:posOffset>97155</wp:posOffset>
                </wp:positionV>
                <wp:extent cx="7373620" cy="635"/>
                <wp:effectExtent l="0" t="0" r="0" b="0"/>
                <wp:wrapThrough wrapText="bothSides">
                  <wp:wrapPolygon>
                    <wp:start x="-8" y="0"/>
                    <wp:lineTo x="21592" y="21600"/>
                    <wp:lineTo x="21608" y="21600"/>
                    <wp:lineTo x="8" y="0"/>
                    <wp:lineTo x="-8" y="0"/>
                  </wp:wrapPolygon>
                </wp:wrapThrough>
                <wp:docPr id="1" name="Line 2"/>
                <wp:cNvGraphicFramePr/>
                <a:graphic xmlns:a="http://schemas.openxmlformats.org/drawingml/2006/main">
                  <a:graphicData uri="http://schemas.microsoft.com/office/word/2010/wordprocessingShape">
                    <wps:wsp>
                      <wps:cNvCnPr/>
                      <wps:spPr>
                        <a:xfrm>
                          <a:off x="0" y="0"/>
                          <a:ext cx="7373620"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61.45pt;margin-top:7.65pt;height:0.05pt;width:580.6pt;mso-wrap-distance-left:9pt;mso-wrap-distance-right:9pt;z-index:251658240;mso-width-relative:page;mso-height-relative:page;" filled="f" stroked="t" coordsize="21600,21600" wrapcoords="-8 0 21592 21600 21608 21600 8 0 -8 0" o:gfxdata="UEsDBAoAAAAAAIdO4kAAAAAAAAAAAAAAAAAEAAAAZHJzL1BLAwQUAAAACACHTuJAUancYdoAAAAL&#10;AQAADwAAAGRycy9kb3ducmV2LnhtbE2PzU7DMBCE70i8g7VI3Fo7aaElxKlQJSQutGrhAdx4m0TE&#10;6yh2f9KnZ3OC2+7OaPabfHV1rThjHxpPGpKpAoFUettQpeH7632yBBGiIWtaT6hhwACr4v4uN5n1&#10;F9rheR8rwSEUMqOhjrHLpAxljc6Eqe+QWDv63pnIa19J25sLh7tWpko9S2ca4g+16XBdY/mzPzkN&#10;u7XfLN66+fZjEz+Pi9ttwLIatH58SNQriIjX+GeGEZ/RoWCmgz+RDaLVMEnS9IW9rDzNQIwONVvy&#10;dBgvc5BFLv93KH4BUEsDBBQAAAAIAIdO4kDzD/0nwgEAAI4DAAAOAAAAZHJzL2Uyb0RvYy54bWyt&#10;U8tu2zAQvBfoPxC81/IDtgPBcg5x00vQGmjzAWs+JAJ8gctY9t93SbtO2l6KIjpQS+1wODu72tyf&#10;nGVHldAE3/HZZMqZ8iJI4/uOP/94/HTHGWbwEmzwquNnhfx++/HDZoytmochWKkSIxKP7Rg7PuQc&#10;26ZBMSgHOAlReUrqkBxk2qa+kQlGYne2mU+nq2YMScYUhEKkr7tLkm8rv9ZK5G9ao8rMdpy05bqm&#10;uh7K2mw30PYJ4mDEVQb8hwoHxtOlN6odZGAvyfxF5YxIAYPOExFcE7Q2QtUaqJrZ9I9qvg8QVa2F&#10;zMF4swnfj1Z8Pe4TM5J6x5kHRy16Ml6xeXFmjNgS4MHv03WHcZ9KmSedXHlTAexU3Tzf3FSnzAR9&#10;XC/Wi9WcTBeUWy2WhbF5PRoT5i8qOFaCjlu6tToIxyfMF+gvSLnJejaSyOXdekmMQKOiLWQKXSTx&#10;6Pt6GIM18tFYW45g6g8PNrEjlObX56rhN1i5ZQc4XHA1VWDQDgrkZy9ZPkeyxdP88qLBKcmZVTTu&#10;JarIDMb+C5LKt55cKMZerCzRIcgzNeElJtMPZMWsqiwZanr17DqgZare7ivT62+0/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Rqdxh2gAAAAsBAAAPAAAAAAAAAAEAIAAAACIAAABkcnMvZG93bnJl&#10;di54bWxQSwECFAAUAAAACACHTuJA8w/9J8IBAACOAwAADgAAAAAAAAABACAAAAApAQAAZHJzL2Uy&#10;b0RvYy54bWxQSwUGAAAAAAYABgBZAQAAXQUAAAAA&#10;">
                <v:fill on="f" focussize="0,0"/>
                <v:stroke weight="1.25pt" color="#000000" joinstyle="round"/>
                <v:imagedata o:title=""/>
                <o:lock v:ext="edit" aspectratio="f"/>
                <w10:wrap type="through"/>
              </v:line>
            </w:pict>
          </mc:Fallback>
        </mc:AlternateContent>
      </w:r>
      <w:r>
        <w:rPr>
          <w:rFonts w:hint="eastAsia" w:ascii="黑体" w:hAnsi="黑体" w:eastAsia="黑体" w:cs="黑体"/>
          <w:b/>
          <w:sz w:val="40"/>
          <w:szCs w:val="40"/>
          <w:lang w:val="en-US" w:eastAsia="zh-CN"/>
        </w:rPr>
        <w:t>第三届中国（厦门）国际绿色建筑产业博览会福建-地坪展</w:t>
      </w:r>
    </w:p>
    <w:p>
      <w:pPr>
        <w:spacing w:line="760" w:lineRule="exact"/>
        <w:jc w:val="center"/>
        <w:rPr>
          <w:rFonts w:hint="eastAsia" w:ascii="黑体" w:hAnsi="黑体" w:eastAsia="黑体" w:cs="黑体"/>
          <w:sz w:val="28"/>
          <w:szCs w:val="28"/>
        </w:rPr>
      </w:pPr>
      <w:r>
        <w:rPr>
          <w:rFonts w:hint="eastAsia" w:ascii="黑体" w:hAnsi="黑体" w:eastAsia="黑体" w:cs="黑体"/>
          <w:sz w:val="28"/>
          <w:szCs w:val="28"/>
          <w:lang w:val="en-GB"/>
        </w:rPr>
        <w:t>福建·厦门国际会展中心</w:t>
      </w:r>
      <w:r>
        <w:rPr>
          <w:rFonts w:hint="eastAsia" w:ascii="黑体" w:hAnsi="黑体" w:eastAsia="黑体" w:cs="黑体"/>
          <w:sz w:val="28"/>
          <w:szCs w:val="28"/>
          <w:lang w:val="en-US" w:eastAsia="zh-CN"/>
        </w:rPr>
        <w:t>A4馆</w:t>
      </w:r>
      <w:r>
        <w:rPr>
          <w:rFonts w:hint="eastAsia" w:ascii="黑体" w:hAnsi="黑体" w:eastAsia="黑体" w:cs="黑体"/>
          <w:sz w:val="28"/>
          <w:szCs w:val="28"/>
          <w:lang w:val="en-GB"/>
        </w:rPr>
        <w:t xml:space="preserve">    201</w:t>
      </w:r>
      <w:r>
        <w:rPr>
          <w:rFonts w:hint="eastAsia" w:ascii="黑体" w:hAnsi="黑体" w:eastAsia="黑体" w:cs="黑体"/>
          <w:sz w:val="28"/>
          <w:szCs w:val="28"/>
          <w:lang w:val="en-US" w:eastAsia="zh-CN"/>
        </w:rPr>
        <w:t>9</w:t>
      </w:r>
      <w:r>
        <w:rPr>
          <w:rFonts w:hint="eastAsia" w:ascii="黑体" w:hAnsi="黑体" w:eastAsia="黑体" w:cs="黑体"/>
          <w:sz w:val="28"/>
          <w:szCs w:val="28"/>
          <w:lang w:val="en-GB"/>
        </w:rPr>
        <w:t>年</w:t>
      </w:r>
      <w:r>
        <w:rPr>
          <w:rFonts w:hint="eastAsia" w:ascii="黑体" w:hAnsi="黑体" w:eastAsia="黑体" w:cs="黑体"/>
          <w:sz w:val="28"/>
          <w:szCs w:val="28"/>
          <w:lang w:val="en-US" w:eastAsia="zh-CN"/>
        </w:rPr>
        <w:t>11</w:t>
      </w:r>
      <w:r>
        <w:rPr>
          <w:rFonts w:hint="eastAsia" w:ascii="黑体" w:hAnsi="黑体" w:eastAsia="黑体" w:cs="黑体"/>
          <w:sz w:val="28"/>
          <w:szCs w:val="28"/>
        </w:rPr>
        <w:t>月</w:t>
      </w:r>
      <w:r>
        <w:rPr>
          <w:rFonts w:hint="eastAsia" w:ascii="黑体" w:hAnsi="黑体" w:eastAsia="黑体" w:cs="黑体"/>
          <w:sz w:val="28"/>
          <w:szCs w:val="28"/>
          <w:lang w:val="en-US" w:eastAsia="zh-CN"/>
        </w:rPr>
        <w:t>22</w:t>
      </w:r>
      <w:r>
        <w:rPr>
          <w:rFonts w:hint="eastAsia" w:ascii="黑体" w:hAnsi="黑体" w:eastAsia="黑体" w:cs="黑体"/>
          <w:sz w:val="28"/>
          <w:szCs w:val="28"/>
        </w:rPr>
        <w:t>日-</w:t>
      </w:r>
      <w:r>
        <w:rPr>
          <w:rFonts w:hint="eastAsia" w:ascii="黑体" w:hAnsi="黑体" w:eastAsia="黑体" w:cs="黑体"/>
          <w:sz w:val="28"/>
          <w:szCs w:val="28"/>
          <w:lang w:val="en-US" w:eastAsia="zh-CN"/>
        </w:rPr>
        <w:t>11</w:t>
      </w:r>
      <w:r>
        <w:rPr>
          <w:rFonts w:hint="eastAsia" w:ascii="黑体" w:hAnsi="黑体" w:eastAsia="黑体" w:cs="黑体"/>
          <w:sz w:val="28"/>
          <w:szCs w:val="28"/>
        </w:rPr>
        <w:t>月</w:t>
      </w:r>
      <w:r>
        <w:rPr>
          <w:rFonts w:hint="eastAsia" w:ascii="黑体" w:hAnsi="黑体" w:eastAsia="黑体" w:cs="黑体"/>
          <w:sz w:val="28"/>
          <w:szCs w:val="28"/>
          <w:lang w:val="en-US" w:eastAsia="zh-CN"/>
        </w:rPr>
        <w:t>24</w:t>
      </w:r>
      <w:r>
        <w:rPr>
          <w:rFonts w:hint="eastAsia" w:ascii="黑体" w:hAnsi="黑体" w:eastAsia="黑体" w:cs="黑体"/>
          <w:sz w:val="28"/>
          <w:szCs w:val="28"/>
        </w:rPr>
        <w:t>日</w:t>
      </w:r>
    </w:p>
    <w:p>
      <w:pPr>
        <w:ind w:firstLine="1680" w:firstLineChars="600"/>
        <w:jc w:val="both"/>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官方网站：</w:t>
      </w:r>
      <w:r>
        <w:rPr>
          <w:rFonts w:hint="eastAsia" w:ascii="黑体" w:hAnsi="黑体" w:eastAsia="黑体" w:cs="黑体"/>
          <w:sz w:val="28"/>
          <w:szCs w:val="28"/>
          <w:highlight w:val="none"/>
          <w:lang w:val="en-US" w:eastAsia="zh-CN"/>
        </w:rPr>
        <w:t xml:space="preserve">http://www.fjfloor.org  </w:t>
      </w:r>
    </w:p>
    <w:p>
      <w:pPr>
        <w:rPr>
          <w:rFonts w:hint="eastAsia" w:ascii="宋体" w:hAnsi="宋体" w:cs="宋体"/>
          <w:sz w:val="60"/>
          <w:szCs w:val="60"/>
          <w:lang w:val="en-GB"/>
        </w:rPr>
      </w:pPr>
    </w:p>
    <w:p>
      <w:pPr>
        <w:jc w:val="center"/>
        <w:rPr>
          <w:rFonts w:hint="eastAsia" w:ascii="黑体" w:hAnsi="黑体" w:eastAsia="黑体" w:cs="黑体"/>
          <w:b/>
          <w:bCs/>
          <w:sz w:val="60"/>
          <w:szCs w:val="60"/>
          <w:lang w:val="en-GB"/>
        </w:rPr>
      </w:pPr>
      <w:r>
        <w:rPr>
          <w:rFonts w:hint="eastAsia" w:ascii="黑体" w:hAnsi="黑体" w:eastAsia="黑体" w:cs="黑体"/>
          <w:b/>
          <w:bCs/>
          <w:sz w:val="60"/>
          <w:szCs w:val="60"/>
          <w:lang w:val="en-GB"/>
        </w:rPr>
        <w:t>展商手册</w:t>
      </w:r>
    </w:p>
    <w:p>
      <w:pPr>
        <w:rPr>
          <w:rFonts w:hint="eastAsia" w:ascii="宋体" w:hAnsi="宋体" w:cs="宋体"/>
          <w:b/>
          <w:sz w:val="18"/>
          <w:szCs w:val="18"/>
          <w:lang w:val="en-GB"/>
        </w:rPr>
      </w:pPr>
    </w:p>
    <w:p>
      <w:pPr>
        <w:rPr>
          <w:rFonts w:hint="eastAsia" w:ascii="宋体" w:hAnsi="宋体" w:cs="宋体"/>
          <w:b/>
          <w:sz w:val="18"/>
          <w:szCs w:val="18"/>
          <w:lang w:val="en-GB"/>
        </w:rPr>
      </w:pPr>
    </w:p>
    <w:p>
      <w:pPr>
        <w:ind w:firstLine="4096" w:firstLineChars="1700"/>
        <w:jc w:val="both"/>
        <w:rPr>
          <w:rFonts w:hint="eastAsia" w:ascii="黑体" w:hAnsi="黑体" w:eastAsia="黑体" w:cs="黑体"/>
          <w:b/>
          <w:sz w:val="24"/>
          <w:szCs w:val="24"/>
          <w:lang w:val="en-GB"/>
        </w:rPr>
      </w:pPr>
      <w:r>
        <w:rPr>
          <w:rFonts w:hint="eastAsia" w:ascii="黑体" w:hAnsi="黑体" w:eastAsia="黑体" w:cs="黑体"/>
          <w:b/>
          <w:sz w:val="24"/>
          <w:szCs w:val="24"/>
          <w:lang w:val="en-US" w:eastAsia="zh-CN"/>
        </w:rPr>
        <w:t>指导</w:t>
      </w:r>
      <w:r>
        <w:rPr>
          <w:rFonts w:hint="eastAsia" w:ascii="黑体" w:hAnsi="黑体" w:eastAsia="黑体" w:cs="黑体"/>
          <w:b/>
          <w:sz w:val="24"/>
          <w:szCs w:val="24"/>
          <w:lang w:val="en-GB"/>
        </w:rPr>
        <w:t>单位</w:t>
      </w:r>
    </w:p>
    <w:p>
      <w:pPr>
        <w:jc w:val="center"/>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福建住房和城乡建设厅</w:t>
      </w:r>
    </w:p>
    <w:p>
      <w:pPr>
        <w:jc w:val="center"/>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厦门市建设局</w:t>
      </w:r>
    </w:p>
    <w:p>
      <w:pPr>
        <w:jc w:val="center"/>
        <w:rPr>
          <w:rFonts w:hint="eastAsia" w:ascii="黑体" w:hAnsi="黑体" w:eastAsia="黑体" w:cs="黑体"/>
          <w:b/>
          <w:sz w:val="24"/>
          <w:szCs w:val="24"/>
          <w:lang w:val="en-US" w:eastAsia="zh-CN"/>
        </w:rPr>
      </w:pPr>
      <w:r>
        <w:rPr>
          <w:rFonts w:hint="eastAsia" w:ascii="黑体" w:hAnsi="黑体" w:eastAsia="黑体" w:cs="黑体"/>
          <w:b/>
          <w:color w:val="0000FF"/>
          <w:sz w:val="24"/>
          <w:szCs w:val="24"/>
          <w:lang w:val="en-US" w:eastAsia="zh-CN"/>
        </w:rPr>
        <w:t>主办</w:t>
      </w:r>
      <w:r>
        <w:rPr>
          <w:rFonts w:hint="eastAsia" w:ascii="黑体" w:hAnsi="黑体" w:eastAsia="黑体" w:cs="黑体"/>
          <w:b/>
          <w:sz w:val="24"/>
          <w:szCs w:val="24"/>
          <w:lang w:val="en-US" w:eastAsia="zh-CN"/>
        </w:rPr>
        <w:t>单位</w:t>
      </w:r>
    </w:p>
    <w:p>
      <w:pPr>
        <w:jc w:val="center"/>
        <w:rPr>
          <w:rFonts w:hint="eastAsia" w:ascii="黑体" w:hAnsi="黑体" w:eastAsia="黑体" w:cs="黑体"/>
          <w:b/>
          <w:sz w:val="24"/>
          <w:szCs w:val="24"/>
          <w:lang w:val="en-US" w:eastAsia="zh-CN"/>
        </w:rPr>
      </w:pPr>
      <w:r>
        <w:rPr>
          <w:rFonts w:hint="eastAsia" w:ascii="黑体" w:hAnsi="黑体" w:eastAsia="黑体" w:cs="黑体"/>
          <w:color w:val="0000FF"/>
          <w:sz w:val="24"/>
          <w:szCs w:val="24"/>
          <w:lang w:val="en-US" w:eastAsia="zh-CN"/>
        </w:rPr>
        <w:t>福建省地坪行业协会</w:t>
      </w:r>
    </w:p>
    <w:p>
      <w:pPr>
        <w:jc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北京华众信展国际会议有限公司</w:t>
      </w:r>
    </w:p>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天津华众会展有限公司</w:t>
      </w:r>
    </w:p>
    <w:p>
      <w:pPr>
        <w:jc w:val="center"/>
        <w:rPr>
          <w:rFonts w:hint="eastAsia" w:ascii="黑体" w:hAnsi="黑体" w:eastAsia="黑体" w:cs="黑体"/>
          <w:b/>
          <w:sz w:val="24"/>
          <w:szCs w:val="24"/>
          <w:lang w:val="en-GB"/>
        </w:rPr>
      </w:pPr>
      <w:r>
        <w:rPr>
          <w:rFonts w:hint="eastAsia" w:ascii="黑体" w:hAnsi="黑体" w:eastAsia="黑体" w:cs="黑体"/>
          <w:b/>
          <w:sz w:val="24"/>
          <w:szCs w:val="24"/>
        </w:rPr>
        <w:t xml:space="preserve"> </w:t>
      </w:r>
      <w:r>
        <w:rPr>
          <w:rFonts w:hint="eastAsia" w:ascii="黑体" w:hAnsi="黑体" w:eastAsia="黑体" w:cs="黑体"/>
          <w:b/>
          <w:sz w:val="24"/>
          <w:szCs w:val="24"/>
          <w:lang w:val="en-GB"/>
        </w:rPr>
        <w:t>主场</w:t>
      </w:r>
      <w:r>
        <w:rPr>
          <w:rFonts w:hint="eastAsia" w:ascii="黑体" w:hAnsi="黑体" w:eastAsia="黑体" w:cs="黑体"/>
          <w:b/>
          <w:sz w:val="24"/>
          <w:szCs w:val="24"/>
          <w:lang w:val="en-GB" w:eastAsia="zh-CN"/>
        </w:rPr>
        <w:t>服务</w:t>
      </w:r>
      <w:r>
        <w:rPr>
          <w:rFonts w:hint="eastAsia" w:ascii="黑体" w:hAnsi="黑体" w:eastAsia="黑体" w:cs="黑体"/>
          <w:b/>
          <w:sz w:val="24"/>
          <w:szCs w:val="24"/>
          <w:lang w:val="en-GB"/>
        </w:rPr>
        <w:t>商</w:t>
      </w:r>
    </w:p>
    <w:p>
      <w:pPr>
        <w:autoSpaceDE w:val="0"/>
        <w:autoSpaceDN w:val="0"/>
        <w:adjustRightInd w:val="0"/>
        <w:jc w:val="center"/>
        <w:rPr>
          <w:rFonts w:hint="eastAsia" w:ascii="微软雅黑" w:hAnsi="微软雅黑" w:eastAsia="微软雅黑" w:cs="微软雅黑"/>
          <w:b/>
          <w:sz w:val="36"/>
          <w:szCs w:val="36"/>
        </w:rPr>
      </w:pPr>
      <w:r>
        <w:rPr>
          <w:rFonts w:hint="eastAsia" w:ascii="华文细黑" w:hAnsi="华文细黑" w:eastAsia="华文细黑" w:cs="华文细黑"/>
          <w:sz w:val="24"/>
          <w:szCs w:val="24"/>
          <w:lang w:val="en-US" w:eastAsia="zh-CN"/>
        </w:rPr>
        <w:t>福建会展壹号公关策划服务有限公司</w:t>
      </w:r>
    </w:p>
    <w:p>
      <w:pPr>
        <w:autoSpaceDE w:val="0"/>
        <w:autoSpaceDN w:val="0"/>
        <w:adjustRightInd w:val="0"/>
        <w:jc w:val="center"/>
        <w:rPr>
          <w:rFonts w:hint="eastAsia" w:ascii="微软雅黑" w:hAnsi="微软雅黑" w:eastAsia="微软雅黑" w:cs="微软雅黑"/>
          <w:b/>
          <w:sz w:val="36"/>
          <w:szCs w:val="36"/>
        </w:rPr>
      </w:pPr>
    </w:p>
    <w:p>
      <w:pPr>
        <w:autoSpaceDE w:val="0"/>
        <w:autoSpaceDN w:val="0"/>
        <w:adjustRightInd w:val="0"/>
        <w:jc w:val="center"/>
        <w:rPr>
          <w:rFonts w:hint="eastAsia" w:ascii="微软雅黑" w:hAnsi="微软雅黑" w:eastAsia="微软雅黑" w:cs="微软雅黑"/>
          <w:b/>
          <w:sz w:val="36"/>
          <w:szCs w:val="36"/>
        </w:rPr>
      </w:pPr>
    </w:p>
    <w:p>
      <w:pPr>
        <w:autoSpaceDE w:val="0"/>
        <w:autoSpaceDN w:val="0"/>
        <w:adjustRightInd w:val="0"/>
        <w:jc w:val="center"/>
        <w:rPr>
          <w:rFonts w:hint="eastAsia" w:ascii="微软雅黑" w:hAnsi="微软雅黑" w:eastAsia="微软雅黑" w:cs="微软雅黑"/>
          <w:b/>
          <w:sz w:val="36"/>
          <w:szCs w:val="36"/>
        </w:rPr>
      </w:pPr>
    </w:p>
    <w:p>
      <w:pPr>
        <w:autoSpaceDE w:val="0"/>
        <w:autoSpaceDN w:val="0"/>
        <w:adjustRightInd w:val="0"/>
        <w:jc w:val="both"/>
        <w:rPr>
          <w:rFonts w:hint="eastAsia" w:ascii="微软雅黑" w:hAnsi="微软雅黑" w:eastAsia="微软雅黑" w:cs="微软雅黑"/>
          <w:b/>
          <w:bCs w:val="0"/>
          <w:sz w:val="32"/>
          <w:szCs w:val="32"/>
        </w:rPr>
      </w:pPr>
    </w:p>
    <w:sdt>
      <w:sdtPr>
        <w:rPr>
          <w:rFonts w:ascii="宋体" w:hAnsi="宋体" w:eastAsia="宋体" w:cs="黑体"/>
          <w:b/>
          <w:bCs w:val="0"/>
          <w:kern w:val="2"/>
          <w:sz w:val="32"/>
          <w:szCs w:val="32"/>
          <w:lang w:val="en-US" w:eastAsia="zh-CN" w:bidi="ar-SA"/>
        </w:rPr>
        <w:id w:val="147476141"/>
        <w15:color w:val="DBDBDB"/>
        <w:docPartObj>
          <w:docPartGallery w:val="Table of Contents"/>
          <w:docPartUnique/>
        </w:docPartObj>
      </w:sdtPr>
      <w:sdtEndPr>
        <w:rPr>
          <w:rFonts w:asciiTheme="minorHAnsi" w:hAnsiTheme="minorHAnsi" w:eastAsiaTheme="minorEastAsia" w:cstheme="minorBidi"/>
          <w:b/>
          <w:bCs w:val="0"/>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b/>
              <w:bCs w:val="0"/>
              <w:sz w:val="32"/>
              <w:szCs w:val="32"/>
            </w:rPr>
          </w:pPr>
          <w:bookmarkStart w:id="0" w:name="_Toc14546_WPSOffice_Type2"/>
          <w:r>
            <w:rPr>
              <w:rFonts w:ascii="宋体" w:hAnsi="宋体" w:eastAsia="宋体"/>
              <w:b/>
              <w:bCs w:val="0"/>
              <w:sz w:val="32"/>
              <w:szCs w:val="32"/>
            </w:rPr>
            <w:t>目录</w:t>
          </w:r>
        </w:p>
        <w:p>
          <w:pPr>
            <w:pStyle w:val="80"/>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b/>
              <w:bCs/>
              <w:sz w:val="24"/>
              <w:szCs w:val="24"/>
            </w:rPr>
            <w:fldChar w:fldCharType="begin"/>
          </w:r>
          <w:r>
            <w:rPr>
              <w:sz w:val="24"/>
              <w:szCs w:val="24"/>
            </w:rPr>
            <w:instrText xml:space="preserve"> HYPERLINK \l _Toc12320_WPSOffice_Level1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76141"/>
              <w:placeholder>
                <w:docPart w:val="{6ce28c49-d43e-4a0a-ae5c-d91d668bb689}"/>
              </w:placeholder>
              <w15:color w:val="509DF3"/>
            </w:sdtPr>
            <w:sdtEndPr>
              <w:rPr>
                <w:rFonts w:ascii="Calibri" w:hAnsi="Calibri" w:eastAsia="宋体" w:cs="黑体"/>
                <w:b/>
                <w:bCs/>
                <w:kern w:val="2"/>
                <w:sz w:val="24"/>
                <w:szCs w:val="24"/>
                <w:lang w:val="en-US" w:eastAsia="zh-CN" w:bidi="ar-SA"/>
              </w:rPr>
            </w:sdtEndPr>
            <w:sdtContent>
              <w:r>
                <w:rPr>
                  <w:rFonts w:hint="eastAsia" w:ascii="微软雅黑" w:hAnsi="微软雅黑" w:eastAsia="微软雅黑" w:cs="微软雅黑"/>
                  <w:b/>
                  <w:bCs/>
                  <w:sz w:val="24"/>
                  <w:szCs w:val="24"/>
                </w:rPr>
                <w:t>前  言</w:t>
              </w:r>
            </w:sdtContent>
          </w:sdt>
          <w:r>
            <w:rPr>
              <w:b/>
              <w:bCs/>
              <w:sz w:val="24"/>
              <w:szCs w:val="24"/>
            </w:rPr>
            <w:tab/>
          </w:r>
          <w:bookmarkStart w:id="1" w:name="_Toc12320_WPSOffice_Level1Page"/>
          <w:r>
            <w:rPr>
              <w:b/>
              <w:bCs/>
              <w:sz w:val="24"/>
              <w:szCs w:val="24"/>
            </w:rPr>
            <w:t>3</w:t>
          </w:r>
          <w:bookmarkEnd w:id="1"/>
          <w:r>
            <w:rPr>
              <w:b/>
              <w:bCs/>
              <w:sz w:val="24"/>
              <w:szCs w:val="24"/>
            </w:rPr>
            <w:fldChar w:fldCharType="end"/>
          </w:r>
        </w:p>
        <w:p>
          <w:pPr>
            <w:pStyle w:val="80"/>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b/>
              <w:bCs/>
              <w:sz w:val="24"/>
              <w:szCs w:val="24"/>
            </w:rPr>
            <w:fldChar w:fldCharType="begin"/>
          </w:r>
          <w:r>
            <w:rPr>
              <w:sz w:val="24"/>
              <w:szCs w:val="24"/>
            </w:rPr>
            <w:instrText xml:space="preserve"> HYPERLINK \l _Toc14546_WPSOffice_Level1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76141"/>
              <w:placeholder>
                <w:docPart w:val="{0c6283ee-b048-499e-b672-a783560ce1ec}"/>
              </w:placeholder>
              <w15:color w:val="509DF3"/>
            </w:sdtPr>
            <w:sdtEndPr>
              <w:rPr>
                <w:rFonts w:ascii="Calibri" w:hAnsi="Calibri" w:eastAsia="宋体" w:cs="黑体"/>
                <w:b/>
                <w:bCs/>
                <w:kern w:val="2"/>
                <w:sz w:val="24"/>
                <w:szCs w:val="24"/>
                <w:lang w:val="en-US" w:eastAsia="zh-CN" w:bidi="ar-SA"/>
              </w:rPr>
            </w:sdtEndPr>
            <w:sdtContent>
              <w:r>
                <w:rPr>
                  <w:rFonts w:hint="eastAsia" w:ascii="华文细黑" w:hAnsi="华文细黑" w:eastAsia="华文细黑" w:cs="华文细黑"/>
                  <w:b/>
                  <w:bCs/>
                  <w:sz w:val="24"/>
                  <w:szCs w:val="24"/>
                </w:rPr>
                <w:t>一、展会概要</w:t>
              </w:r>
            </w:sdtContent>
          </w:sdt>
          <w:r>
            <w:rPr>
              <w:b/>
              <w:bCs/>
              <w:sz w:val="24"/>
              <w:szCs w:val="24"/>
            </w:rPr>
            <w:tab/>
          </w:r>
          <w:bookmarkStart w:id="2" w:name="_Toc14546_WPSOffice_Level1Page"/>
          <w:r>
            <w:rPr>
              <w:b/>
              <w:bCs/>
              <w:sz w:val="24"/>
              <w:szCs w:val="24"/>
            </w:rPr>
            <w:t>4</w:t>
          </w:r>
          <w:bookmarkEnd w:id="2"/>
          <w:r>
            <w:rPr>
              <w:b/>
              <w:bCs/>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_Toc14546_WPSOffice_Level2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34f20f97-4aff-4ecd-aa43-ca9c05793844}"/>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1.展会地点</w:t>
              </w:r>
            </w:sdtContent>
          </w:sdt>
          <w:r>
            <w:rPr>
              <w:sz w:val="24"/>
              <w:szCs w:val="24"/>
            </w:rPr>
            <w:tab/>
          </w:r>
          <w:bookmarkStart w:id="3" w:name="_Toc14546_WPSOffice_Level2Page"/>
          <w:r>
            <w:rPr>
              <w:sz w:val="24"/>
              <w:szCs w:val="24"/>
            </w:rPr>
            <w:t>4</w:t>
          </w:r>
          <w:bookmarkEnd w:id="3"/>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_Toc29065_WPSOffice_Level2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77b79ffc-28a2-4e10-8b74-6dbf642d5c73}"/>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2.时间安排</w:t>
              </w:r>
            </w:sdtContent>
          </w:sdt>
          <w:r>
            <w:rPr>
              <w:sz w:val="24"/>
              <w:szCs w:val="24"/>
            </w:rPr>
            <w:tab/>
          </w:r>
          <w:bookmarkStart w:id="4" w:name="_Toc29065_WPSOffice_Level2Page"/>
          <w:r>
            <w:rPr>
              <w:sz w:val="24"/>
              <w:szCs w:val="24"/>
            </w:rPr>
            <w:t>4</w:t>
          </w:r>
          <w:bookmarkEnd w:id="4"/>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_Toc4786_WPSOffice_Level2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06a71a38-a5e7-47a0-b55f-7585847ea6a9}"/>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3.大会相关服务机构</w:t>
              </w:r>
            </w:sdtContent>
          </w:sdt>
          <w:r>
            <w:rPr>
              <w:sz w:val="24"/>
              <w:szCs w:val="24"/>
            </w:rPr>
            <w:tab/>
          </w:r>
          <w:bookmarkStart w:id="5" w:name="_Toc4786_WPSOffice_Level2Page"/>
          <w:r>
            <w:rPr>
              <w:sz w:val="24"/>
              <w:szCs w:val="24"/>
            </w:rPr>
            <w:t>4</w:t>
          </w:r>
          <w:bookmarkEnd w:id="5"/>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_Toc18048_WPSOffice_Level2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043447fd-cca3-4077-9526-f27de2c5dc87}"/>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4.交通指南</w:t>
              </w:r>
            </w:sdtContent>
          </w:sdt>
          <w:r>
            <w:rPr>
              <w:sz w:val="24"/>
              <w:szCs w:val="24"/>
            </w:rPr>
            <w:tab/>
          </w:r>
          <w:bookmarkStart w:id="6" w:name="_Toc18048_WPSOffice_Level2Page"/>
          <w:r>
            <w:rPr>
              <w:sz w:val="24"/>
              <w:szCs w:val="24"/>
            </w:rPr>
            <w:t>5</w:t>
          </w:r>
          <w:bookmarkEnd w:id="6"/>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_Toc14757_WPSOffice_Level2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ede1a5d9-8e2a-4c15-86b6-8625ad12e163}"/>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5.展馆位置图</w:t>
              </w:r>
            </w:sdtContent>
          </w:sdt>
          <w:r>
            <w:rPr>
              <w:sz w:val="24"/>
              <w:szCs w:val="24"/>
            </w:rPr>
            <w:tab/>
          </w:r>
          <w:bookmarkStart w:id="7" w:name="_Toc14757_WPSOffice_Level2Page"/>
          <w:r>
            <w:rPr>
              <w:sz w:val="24"/>
              <w:szCs w:val="24"/>
            </w:rPr>
            <w:t>6</w:t>
          </w:r>
          <w:bookmarkEnd w:id="7"/>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_Toc30516_WPSOffice_Level2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92631986-8afe-471d-91f9-6293f85b9fa8}"/>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6.展厅平面图</w:t>
              </w:r>
            </w:sdtContent>
          </w:sdt>
          <w:r>
            <w:rPr>
              <w:sz w:val="24"/>
              <w:szCs w:val="24"/>
            </w:rPr>
            <w:tab/>
          </w:r>
          <w:bookmarkStart w:id="8" w:name="_Toc30516_WPSOffice_Level2Page"/>
          <w:r>
            <w:rPr>
              <w:sz w:val="24"/>
              <w:szCs w:val="24"/>
            </w:rPr>
            <w:t>7</w:t>
          </w:r>
          <w:bookmarkEnd w:id="8"/>
          <w:r>
            <w:rPr>
              <w:sz w:val="24"/>
              <w:szCs w:val="24"/>
            </w:rPr>
            <w:fldChar w:fldCharType="end"/>
          </w:r>
        </w:p>
        <w:p>
          <w:pPr>
            <w:pStyle w:val="80"/>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b/>
              <w:bCs/>
              <w:sz w:val="24"/>
              <w:szCs w:val="24"/>
            </w:rPr>
            <w:fldChar w:fldCharType="begin"/>
          </w:r>
          <w:r>
            <w:rPr>
              <w:sz w:val="24"/>
              <w:szCs w:val="24"/>
            </w:rPr>
            <w:instrText xml:space="preserve"> HYPERLINK \l _Toc29065_WPSOffice_Level1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76141"/>
              <w:placeholder>
                <w:docPart w:val="{0288a90b-c2ea-43d4-a482-bc0c2a986a0e}"/>
              </w:placeholder>
              <w15:color w:val="509DF3"/>
            </w:sdtPr>
            <w:sdtEndPr>
              <w:rPr>
                <w:rFonts w:ascii="Calibri" w:hAnsi="Calibri" w:eastAsia="宋体" w:cs="黑体"/>
                <w:b/>
                <w:bCs/>
                <w:kern w:val="2"/>
                <w:sz w:val="24"/>
                <w:szCs w:val="24"/>
                <w:lang w:val="en-US" w:eastAsia="zh-CN" w:bidi="ar-SA"/>
              </w:rPr>
            </w:sdtEndPr>
            <w:sdtContent>
              <w:r>
                <w:rPr>
                  <w:rFonts w:hint="eastAsia" w:ascii="华文细黑" w:hAnsi="华文细黑" w:eastAsia="华文细黑" w:cs="华文细黑"/>
                  <w:b/>
                  <w:bCs/>
                  <w:sz w:val="24"/>
                  <w:szCs w:val="24"/>
                </w:rPr>
                <w:t>二、特装展位布撤展须知</w:t>
              </w:r>
            </w:sdtContent>
          </w:sdt>
          <w:r>
            <w:rPr>
              <w:b/>
              <w:bCs/>
              <w:sz w:val="24"/>
              <w:szCs w:val="24"/>
            </w:rPr>
            <w:tab/>
          </w:r>
          <w:bookmarkStart w:id="9" w:name="_Toc29065_WPSOffice_Level1Page"/>
          <w:r>
            <w:rPr>
              <w:b/>
              <w:bCs/>
              <w:sz w:val="24"/>
              <w:szCs w:val="24"/>
            </w:rPr>
            <w:t>8</w:t>
          </w:r>
          <w:bookmarkEnd w:id="9"/>
          <w:r>
            <w:rPr>
              <w:b/>
              <w:bCs/>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_Toc29056_WPSOffice_Level2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9f7b3692-eed7-42e2-9186-b70317e5367a}"/>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1.参展商证、布撤展及出馆条办理</w:t>
              </w:r>
            </w:sdtContent>
          </w:sdt>
          <w:r>
            <w:rPr>
              <w:sz w:val="24"/>
              <w:szCs w:val="24"/>
            </w:rPr>
            <w:tab/>
          </w:r>
          <w:bookmarkStart w:id="10" w:name="_Toc29056_WPSOffice_Level2Page"/>
          <w:r>
            <w:rPr>
              <w:sz w:val="24"/>
              <w:szCs w:val="24"/>
            </w:rPr>
            <w:t>8</w:t>
          </w:r>
          <w:bookmarkEnd w:id="10"/>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_Toc16868_WPSOffice_Level2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d35ef7d2-2efa-4921-bc7a-a5f9422b517b}"/>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2.特装图纸申报所需材料</w:t>
              </w:r>
            </w:sdtContent>
          </w:sdt>
          <w:r>
            <w:rPr>
              <w:sz w:val="24"/>
              <w:szCs w:val="24"/>
            </w:rPr>
            <w:tab/>
          </w:r>
          <w:bookmarkStart w:id="11" w:name="_Toc16868_WPSOffice_Level2Page"/>
          <w:r>
            <w:rPr>
              <w:sz w:val="24"/>
              <w:szCs w:val="24"/>
            </w:rPr>
            <w:t>8</w:t>
          </w:r>
          <w:bookmarkEnd w:id="11"/>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_Toc19025_WPSOffice_Level2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13c14d9f-5da2-4290-9306-4fad95fbc645}"/>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3.净地展位布撤展施工管理要求及细则</w:t>
              </w:r>
            </w:sdtContent>
          </w:sdt>
          <w:r>
            <w:rPr>
              <w:sz w:val="24"/>
              <w:szCs w:val="24"/>
            </w:rPr>
            <w:tab/>
          </w:r>
          <w:bookmarkStart w:id="12" w:name="_Toc19025_WPSOffice_Level2Page"/>
          <w:r>
            <w:rPr>
              <w:sz w:val="24"/>
              <w:szCs w:val="24"/>
            </w:rPr>
            <w:t>13</w:t>
          </w:r>
          <w:bookmarkEnd w:id="12"/>
          <w:r>
            <w:rPr>
              <w:sz w:val="24"/>
              <w:szCs w:val="24"/>
            </w:rPr>
            <w:fldChar w:fldCharType="end"/>
          </w:r>
        </w:p>
        <w:p>
          <w:pPr>
            <w:pStyle w:val="80"/>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b/>
              <w:bCs/>
              <w:sz w:val="24"/>
              <w:szCs w:val="24"/>
            </w:rPr>
            <w:fldChar w:fldCharType="begin"/>
          </w:r>
          <w:r>
            <w:rPr>
              <w:sz w:val="24"/>
              <w:szCs w:val="24"/>
            </w:rPr>
            <w:instrText xml:space="preserve"> HYPERLINK \l _Toc4786_WPSOffice_Level1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76141"/>
              <w:placeholder>
                <w:docPart w:val="{28c5354d-d544-4f30-8895-bd85ad2af114}"/>
              </w:placeholder>
              <w15:color w:val="509DF3"/>
            </w:sdtPr>
            <w:sdtEndPr>
              <w:rPr>
                <w:rFonts w:ascii="Calibri" w:hAnsi="Calibri" w:eastAsia="宋体" w:cs="黑体"/>
                <w:b/>
                <w:bCs/>
                <w:kern w:val="2"/>
                <w:sz w:val="24"/>
                <w:szCs w:val="24"/>
                <w:lang w:val="en-US" w:eastAsia="zh-CN" w:bidi="ar-SA"/>
              </w:rPr>
            </w:sdtEndPr>
            <w:sdtContent>
              <w:r>
                <w:rPr>
                  <w:rFonts w:hint="eastAsia" w:ascii="华文细黑" w:hAnsi="华文细黑" w:eastAsia="华文细黑" w:cs="华文细黑"/>
                  <w:b/>
                  <w:bCs/>
                  <w:sz w:val="24"/>
                  <w:szCs w:val="24"/>
                </w:rPr>
                <w:t>三、安全及秩序管理</w:t>
              </w:r>
            </w:sdtContent>
          </w:sdt>
          <w:r>
            <w:rPr>
              <w:b/>
              <w:bCs/>
              <w:sz w:val="24"/>
              <w:szCs w:val="24"/>
            </w:rPr>
            <w:tab/>
          </w:r>
          <w:bookmarkStart w:id="13" w:name="_Toc4786_WPSOffice_Level1Page"/>
          <w:r>
            <w:rPr>
              <w:b/>
              <w:bCs/>
              <w:sz w:val="24"/>
              <w:szCs w:val="24"/>
            </w:rPr>
            <w:t>18</w:t>
          </w:r>
          <w:bookmarkEnd w:id="13"/>
          <w:r>
            <w:rPr>
              <w:b/>
              <w:bCs/>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_Toc24041_WPSOffice_Level2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61ee9f4f-1989-4262-950e-824ab98f964f}"/>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1.展区安全须知</w:t>
              </w:r>
            </w:sdtContent>
          </w:sdt>
          <w:r>
            <w:rPr>
              <w:sz w:val="24"/>
              <w:szCs w:val="24"/>
            </w:rPr>
            <w:tab/>
          </w:r>
          <w:bookmarkStart w:id="14" w:name="_Toc24041_WPSOffice_Level2Page"/>
          <w:r>
            <w:rPr>
              <w:sz w:val="24"/>
              <w:szCs w:val="24"/>
            </w:rPr>
            <w:t>18</w:t>
          </w:r>
          <w:bookmarkEnd w:id="14"/>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_Toc3954_WPSOffice_Level2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c072847d-4255-4352-ac07-1454f91cf16e}"/>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2.卫生保障规则</w:t>
              </w:r>
            </w:sdtContent>
          </w:sdt>
          <w:r>
            <w:rPr>
              <w:sz w:val="24"/>
              <w:szCs w:val="24"/>
            </w:rPr>
            <w:tab/>
          </w:r>
          <w:bookmarkStart w:id="15" w:name="_Toc3954_WPSOffice_Level2Page"/>
          <w:r>
            <w:rPr>
              <w:sz w:val="24"/>
              <w:szCs w:val="24"/>
            </w:rPr>
            <w:t>19</w:t>
          </w:r>
          <w:bookmarkEnd w:id="15"/>
          <w:r>
            <w:rPr>
              <w:sz w:val="24"/>
              <w:szCs w:val="24"/>
            </w:rPr>
            <w:fldChar w:fldCharType="end"/>
          </w:r>
        </w:p>
        <w:p>
          <w:pPr>
            <w:pStyle w:val="80"/>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b/>
              <w:bCs/>
              <w:sz w:val="24"/>
              <w:szCs w:val="24"/>
            </w:rPr>
            <w:fldChar w:fldCharType="begin"/>
          </w:r>
          <w:r>
            <w:rPr>
              <w:sz w:val="24"/>
              <w:szCs w:val="24"/>
            </w:rPr>
            <w:instrText xml:space="preserve"> HYPERLINK \l _Toc18048_WPSOffice_Level1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76141"/>
              <w:placeholder>
                <w:docPart w:val="{9328c2d4-31d9-47e2-8904-895c16f87c9e}"/>
              </w:placeholder>
              <w15:color w:val="509DF3"/>
            </w:sdtPr>
            <w:sdtEndPr>
              <w:rPr>
                <w:rFonts w:ascii="Calibri" w:hAnsi="Calibri" w:eastAsia="宋体" w:cs="黑体"/>
                <w:b/>
                <w:bCs/>
                <w:kern w:val="2"/>
                <w:sz w:val="24"/>
                <w:szCs w:val="24"/>
                <w:lang w:val="en-US" w:eastAsia="zh-CN" w:bidi="ar-SA"/>
              </w:rPr>
            </w:sdtEndPr>
            <w:sdtContent>
              <w:r>
                <w:rPr>
                  <w:rFonts w:hint="eastAsia" w:ascii="华文细黑" w:hAnsi="华文细黑" w:eastAsia="华文细黑" w:cs="华文细黑"/>
                  <w:b/>
                  <w:bCs/>
                  <w:sz w:val="24"/>
                  <w:szCs w:val="24"/>
                </w:rPr>
                <w:t>四、净地施工保证金</w:t>
              </w:r>
            </w:sdtContent>
          </w:sdt>
          <w:r>
            <w:rPr>
              <w:b/>
              <w:bCs/>
              <w:sz w:val="24"/>
              <w:szCs w:val="24"/>
            </w:rPr>
            <w:tab/>
          </w:r>
          <w:bookmarkStart w:id="16" w:name="_Toc18048_WPSOffice_Level1Page"/>
          <w:r>
            <w:rPr>
              <w:b/>
              <w:bCs/>
              <w:sz w:val="24"/>
              <w:szCs w:val="24"/>
            </w:rPr>
            <w:t>20</w:t>
          </w:r>
          <w:bookmarkEnd w:id="16"/>
          <w:r>
            <w:rPr>
              <w:b/>
              <w:bCs/>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_Toc7448_WPSOffice_Level2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14144e49-020c-4b8c-846f-4a7cf7b2a1c6}"/>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1.收取标准及缴纳、退还方式</w:t>
              </w:r>
            </w:sdtContent>
          </w:sdt>
          <w:r>
            <w:rPr>
              <w:sz w:val="24"/>
              <w:szCs w:val="24"/>
            </w:rPr>
            <w:tab/>
          </w:r>
          <w:bookmarkStart w:id="17" w:name="_Toc7448_WPSOffice_Level2Page"/>
          <w:r>
            <w:rPr>
              <w:sz w:val="24"/>
              <w:szCs w:val="24"/>
            </w:rPr>
            <w:t>20</w:t>
          </w:r>
          <w:bookmarkEnd w:id="17"/>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_Toc6101_WPSOffice_Level2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977480b6-7dbf-4128-a878-18248151faf0}"/>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2.施工违约处理管理标准</w:t>
              </w:r>
            </w:sdtContent>
          </w:sdt>
          <w:r>
            <w:rPr>
              <w:sz w:val="24"/>
              <w:szCs w:val="24"/>
            </w:rPr>
            <w:tab/>
          </w:r>
          <w:bookmarkStart w:id="18" w:name="_Toc6101_WPSOffice_Level2Page"/>
          <w:r>
            <w:rPr>
              <w:sz w:val="24"/>
              <w:szCs w:val="24"/>
            </w:rPr>
            <w:t>21</w:t>
          </w:r>
          <w:bookmarkEnd w:id="18"/>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_Toc23869_WPSOffice_Level2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b7750327-8d72-48f8-9be8-47fb4ae28cce}"/>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3.施工违约保证金扣除的投诉流程：</w:t>
              </w:r>
            </w:sdtContent>
          </w:sdt>
          <w:r>
            <w:rPr>
              <w:sz w:val="24"/>
              <w:szCs w:val="24"/>
            </w:rPr>
            <w:tab/>
          </w:r>
          <w:bookmarkStart w:id="19" w:name="_Toc23869_WPSOffice_Level2Page"/>
          <w:r>
            <w:rPr>
              <w:sz w:val="24"/>
              <w:szCs w:val="24"/>
            </w:rPr>
            <w:t>26</w:t>
          </w:r>
          <w:bookmarkEnd w:id="19"/>
          <w:r>
            <w:rPr>
              <w:sz w:val="24"/>
              <w:szCs w:val="24"/>
            </w:rPr>
            <w:fldChar w:fldCharType="end"/>
          </w:r>
        </w:p>
        <w:p>
          <w:pPr>
            <w:pStyle w:val="80"/>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b/>
              <w:bCs/>
              <w:sz w:val="24"/>
              <w:szCs w:val="24"/>
            </w:rPr>
            <w:fldChar w:fldCharType="begin"/>
          </w:r>
          <w:r>
            <w:rPr>
              <w:sz w:val="24"/>
              <w:szCs w:val="24"/>
            </w:rPr>
            <w:instrText xml:space="preserve"> HYPERLINK \l _Toc14757_WPSOffice_Level1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76141"/>
              <w:placeholder>
                <w:docPart w:val="{fc17eaac-66e7-48fb-a118-f3a5a0135fa5}"/>
              </w:placeholder>
              <w15:color w:val="509DF3"/>
            </w:sdtPr>
            <w:sdtEndPr>
              <w:rPr>
                <w:rFonts w:ascii="Calibri" w:hAnsi="Calibri" w:eastAsia="宋体" w:cs="黑体"/>
                <w:b/>
                <w:bCs/>
                <w:kern w:val="2"/>
                <w:sz w:val="24"/>
                <w:szCs w:val="24"/>
                <w:lang w:val="en-US" w:eastAsia="zh-CN" w:bidi="ar-SA"/>
              </w:rPr>
            </w:sdtEndPr>
            <w:sdtContent>
              <w:r>
                <w:rPr>
                  <w:rFonts w:hint="eastAsia" w:ascii="华文细黑" w:hAnsi="华文细黑" w:eastAsia="华文细黑" w:cs="华文细黑"/>
                  <w:b/>
                  <w:bCs/>
                  <w:sz w:val="24"/>
                  <w:szCs w:val="24"/>
                </w:rPr>
                <w:t>五、展品运输指南</w:t>
              </w:r>
            </w:sdtContent>
          </w:sdt>
          <w:r>
            <w:rPr>
              <w:b/>
              <w:bCs/>
              <w:sz w:val="24"/>
              <w:szCs w:val="24"/>
            </w:rPr>
            <w:tab/>
          </w:r>
          <w:bookmarkStart w:id="20" w:name="_Toc14757_WPSOffice_Level1Page"/>
          <w:r>
            <w:rPr>
              <w:b/>
              <w:bCs/>
              <w:sz w:val="24"/>
              <w:szCs w:val="24"/>
            </w:rPr>
            <w:t>26</w:t>
          </w:r>
          <w:bookmarkEnd w:id="20"/>
          <w:r>
            <w:rPr>
              <w:b/>
              <w:bCs/>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_Toc18970_WPSOffice_Level2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49e051cb-0696-4439-8c0d-5450696bb4f5}"/>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kern w:val="2"/>
                  <w:sz w:val="24"/>
                  <w:szCs w:val="24"/>
                  <w:lang w:val="en-US" w:eastAsia="zh-CN" w:bidi="ar-SA"/>
                </w:rPr>
                <w:t>运输指南</w:t>
              </w:r>
            </w:sdtContent>
          </w:sdt>
          <w:r>
            <w:rPr>
              <w:sz w:val="24"/>
              <w:szCs w:val="24"/>
            </w:rPr>
            <w:tab/>
          </w:r>
          <w:bookmarkStart w:id="21" w:name="_Toc18970_WPSOffice_Level2Page"/>
          <w:r>
            <w:rPr>
              <w:sz w:val="24"/>
              <w:szCs w:val="24"/>
            </w:rPr>
            <w:t>28</w:t>
          </w:r>
          <w:bookmarkEnd w:id="21"/>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_Toc29304_WPSOffice_Level2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51760433-6aa8-4681-a50d-f7d31badc43b}"/>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1.展品外包装标示样板</w:t>
              </w:r>
            </w:sdtContent>
          </w:sdt>
          <w:r>
            <w:rPr>
              <w:sz w:val="24"/>
              <w:szCs w:val="24"/>
            </w:rPr>
            <w:tab/>
          </w:r>
          <w:bookmarkStart w:id="22" w:name="_Toc29304_WPSOffice_Level2Page"/>
          <w:r>
            <w:rPr>
              <w:sz w:val="24"/>
              <w:szCs w:val="24"/>
            </w:rPr>
            <w:t>28</w:t>
          </w:r>
          <w:bookmarkEnd w:id="22"/>
          <w:r>
            <w:rPr>
              <w:sz w:val="24"/>
              <w:szCs w:val="24"/>
            </w:rPr>
            <w:fldChar w:fldCharType="end"/>
          </w:r>
        </w:p>
        <w:p>
          <w:pPr>
            <w:pStyle w:val="80"/>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b/>
              <w:bCs/>
              <w:sz w:val="24"/>
              <w:szCs w:val="24"/>
            </w:rPr>
            <w:fldChar w:fldCharType="begin"/>
          </w:r>
          <w:r>
            <w:rPr>
              <w:sz w:val="24"/>
              <w:szCs w:val="24"/>
            </w:rPr>
            <w:instrText xml:space="preserve"> HYPERLINK \l _Toc30516_WPSOffice_Level1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76141"/>
              <w:placeholder>
                <w:docPart w:val="{11406aa5-c6b2-4e7a-b24d-766a50e81e6d}"/>
              </w:placeholder>
              <w15:color w:val="509DF3"/>
            </w:sdtPr>
            <w:sdtEndPr>
              <w:rPr>
                <w:rFonts w:ascii="Calibri" w:hAnsi="Calibri" w:eastAsia="宋体" w:cs="黑体"/>
                <w:b/>
                <w:bCs/>
                <w:kern w:val="2"/>
                <w:sz w:val="24"/>
                <w:szCs w:val="24"/>
                <w:lang w:val="en-US" w:eastAsia="zh-CN" w:bidi="ar-SA"/>
              </w:rPr>
            </w:sdtEndPr>
            <w:sdtContent>
              <w:r>
                <w:rPr>
                  <w:rFonts w:hint="eastAsia" w:ascii="华文细黑" w:hAnsi="华文细黑" w:eastAsia="华文细黑" w:cs="华文细黑"/>
                  <w:b/>
                  <w:bCs/>
                  <w:sz w:val="24"/>
                  <w:szCs w:val="24"/>
                </w:rPr>
                <w:t>六、相关收费服务标准及附件</w:t>
              </w:r>
            </w:sdtContent>
          </w:sdt>
          <w:r>
            <w:rPr>
              <w:b/>
              <w:bCs/>
              <w:sz w:val="24"/>
              <w:szCs w:val="24"/>
            </w:rPr>
            <w:tab/>
          </w:r>
          <w:bookmarkStart w:id="23" w:name="_Toc30516_WPSOffice_Level1Page"/>
          <w:r>
            <w:rPr>
              <w:b/>
              <w:bCs/>
              <w:sz w:val="24"/>
              <w:szCs w:val="24"/>
            </w:rPr>
            <w:t>29</w:t>
          </w:r>
          <w:bookmarkEnd w:id="23"/>
          <w:r>
            <w:rPr>
              <w:b/>
              <w:bCs/>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_Toc31214_WPSOffice_Level2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72b58ac0-4aad-4afb-9574-0f45d2979065}"/>
              </w:placeholder>
              <w15:color w:val="509DF3"/>
            </w:sdtPr>
            <w:sdtEndPr>
              <w:rPr>
                <w:rFonts w:ascii="Calibri" w:hAnsi="Calibri" w:eastAsia="宋体" w:cs="黑体"/>
                <w:kern w:val="2"/>
                <w:sz w:val="24"/>
                <w:szCs w:val="24"/>
                <w:lang w:val="en-US" w:eastAsia="zh-CN" w:bidi="ar-SA"/>
              </w:rPr>
            </w:sdtEndPr>
            <w:sdtContent>
              <w:r>
                <w:rPr>
                  <w:rFonts w:hint="eastAsia" w:ascii="华文细黑" w:hAnsi="华文细黑" w:eastAsia="华文细黑" w:cs="华文细黑"/>
                  <w:sz w:val="24"/>
                  <w:szCs w:val="24"/>
                </w:rPr>
                <w:t>1.相关收费服务标准</w:t>
              </w:r>
            </w:sdtContent>
          </w:sdt>
          <w:r>
            <w:rPr>
              <w:sz w:val="24"/>
              <w:szCs w:val="24"/>
            </w:rPr>
            <w:tab/>
          </w:r>
          <w:bookmarkStart w:id="24" w:name="_Toc31214_WPSOffice_Level2Page"/>
          <w:r>
            <w:rPr>
              <w:sz w:val="24"/>
              <w:szCs w:val="24"/>
            </w:rPr>
            <w:t>29</w:t>
          </w:r>
          <w:bookmarkEnd w:id="24"/>
          <w:r>
            <w:rPr>
              <w:sz w:val="24"/>
              <w:szCs w:val="24"/>
            </w:rPr>
            <w:fldChar w:fldCharType="end"/>
          </w:r>
        </w:p>
        <w:p>
          <w:pPr>
            <w:pStyle w:val="81"/>
            <w:keepNext w:val="0"/>
            <w:keepLines w:val="0"/>
            <w:pageBreakBefore w:val="0"/>
            <w:tabs>
              <w:tab w:val="right" w:leader="dot" w:pos="9082"/>
            </w:tabs>
            <w:kinsoku/>
            <w:wordWrap/>
            <w:overflowPunct/>
            <w:topLinePunct w:val="0"/>
            <w:autoSpaceDE/>
            <w:autoSpaceDN/>
            <w:bidi w:val="0"/>
            <w:adjustRightInd/>
            <w:snapToGrid/>
            <w:spacing w:line="460" w:lineRule="exact"/>
            <w:textAlignment w:val="auto"/>
            <w:rPr>
              <w:sz w:val="24"/>
              <w:szCs w:val="24"/>
            </w:rPr>
          </w:pPr>
          <w:r>
            <w:rPr>
              <w:sz w:val="24"/>
              <w:szCs w:val="24"/>
            </w:rPr>
            <w:fldChar w:fldCharType="begin"/>
          </w:r>
          <w:r>
            <w:rPr>
              <w:sz w:val="24"/>
              <w:szCs w:val="24"/>
            </w:rPr>
            <w:instrText xml:space="preserve"> HYPERLINK \l _Toc14726_WPSOffice_Level2 </w:instrText>
          </w:r>
          <w:r>
            <w:rPr>
              <w:sz w:val="24"/>
              <w:szCs w:val="24"/>
            </w:rPr>
            <w:fldChar w:fldCharType="separate"/>
          </w:r>
          <w:sdt>
            <w:sdtPr>
              <w:rPr>
                <w:rFonts w:ascii="Calibri" w:hAnsi="Calibri" w:eastAsia="宋体" w:cs="黑体"/>
                <w:kern w:val="2"/>
                <w:sz w:val="24"/>
                <w:szCs w:val="24"/>
                <w:lang w:val="en-US" w:eastAsia="zh-CN" w:bidi="ar-SA"/>
              </w:rPr>
              <w:id w:val="147476141"/>
              <w:placeholder>
                <w:docPart w:val="{c0a7b8a2-7d7b-4fd7-856b-cea0c810ef3b}"/>
              </w:placeholder>
              <w15:color w:val="509DF3"/>
            </w:sdtPr>
            <w:sdtEndPr>
              <w:rPr>
                <w:rFonts w:ascii="Calibri" w:hAnsi="Calibri" w:eastAsia="宋体" w:cs="黑体"/>
                <w:kern w:val="2"/>
                <w:sz w:val="24"/>
                <w:szCs w:val="24"/>
                <w:lang w:val="en-US" w:eastAsia="zh-CN" w:bidi="ar-SA"/>
              </w:rPr>
            </w:sdtEndPr>
            <w:sdtContent>
              <w:r>
                <w:rPr>
                  <w:rFonts w:hint="eastAsia" w:ascii="宋体" w:hAnsi="宋体" w:eastAsia="宋体" w:cs="新宋体"/>
                  <w:sz w:val="24"/>
                  <w:szCs w:val="24"/>
                </w:rPr>
                <w:t>2.相关附件</w:t>
              </w:r>
            </w:sdtContent>
          </w:sdt>
          <w:r>
            <w:rPr>
              <w:sz w:val="24"/>
              <w:szCs w:val="24"/>
            </w:rPr>
            <w:tab/>
          </w:r>
          <w:bookmarkStart w:id="25" w:name="_Toc14726_WPSOffice_Level2Page"/>
          <w:r>
            <w:rPr>
              <w:sz w:val="24"/>
              <w:szCs w:val="24"/>
            </w:rPr>
            <w:t>33</w:t>
          </w:r>
          <w:bookmarkEnd w:id="25"/>
          <w:r>
            <w:rPr>
              <w:sz w:val="24"/>
              <w:szCs w:val="24"/>
            </w:rPr>
            <w:fldChar w:fldCharType="end"/>
          </w:r>
          <w:bookmarkEnd w:id="0"/>
        </w:p>
      </w:sdtContent>
    </w:sdt>
    <w:p>
      <w:pPr>
        <w:keepNext w:val="0"/>
        <w:keepLines w:val="0"/>
        <w:pageBreakBefore w:val="0"/>
        <w:kinsoku/>
        <w:wordWrap/>
        <w:overflowPunct/>
        <w:topLinePunct w:val="0"/>
        <w:autoSpaceDE/>
        <w:autoSpaceDN/>
        <w:bidi w:val="0"/>
        <w:adjustRightInd/>
        <w:snapToGrid/>
        <w:spacing w:line="460" w:lineRule="exact"/>
        <w:jc w:val="both"/>
        <w:textAlignment w:val="auto"/>
        <w:outlineLvl w:val="0"/>
        <w:rPr>
          <w:rFonts w:hint="default" w:ascii="华文细黑" w:hAnsi="华文细黑" w:eastAsia="华文细黑" w:cs="华文细黑"/>
          <w:kern w:val="0"/>
          <w:sz w:val="24"/>
          <w:szCs w:val="24"/>
          <w:lang w:val="en-US" w:eastAsia="zh-CN"/>
        </w:rPr>
      </w:pPr>
      <w:r>
        <w:rPr>
          <w:rFonts w:hint="eastAsia" w:ascii="华文细黑" w:hAnsi="华文细黑" w:eastAsia="华文细黑" w:cs="华文细黑"/>
          <w:kern w:val="0"/>
          <w:sz w:val="24"/>
          <w:szCs w:val="24"/>
          <w:lang w:val="en-US" w:eastAsia="zh-CN"/>
        </w:rPr>
        <w:t xml:space="preserve"> </w:t>
      </w:r>
    </w:p>
    <w:p>
      <w:pPr>
        <w:autoSpaceDE w:val="0"/>
        <w:autoSpaceDN w:val="0"/>
        <w:adjustRightInd w:val="0"/>
        <w:jc w:val="both"/>
        <w:rPr>
          <w:rFonts w:hint="eastAsia" w:ascii="微软雅黑" w:hAnsi="微软雅黑" w:eastAsia="微软雅黑" w:cs="微软雅黑"/>
          <w:b/>
          <w:sz w:val="36"/>
          <w:szCs w:val="36"/>
        </w:rPr>
      </w:pPr>
    </w:p>
    <w:p>
      <w:pPr>
        <w:autoSpaceDE w:val="0"/>
        <w:autoSpaceDN w:val="0"/>
        <w:adjustRightInd w:val="0"/>
        <w:jc w:val="center"/>
        <w:rPr>
          <w:rFonts w:hint="eastAsia" w:ascii="微软雅黑" w:hAnsi="微软雅黑" w:eastAsia="微软雅黑" w:cs="微软雅黑"/>
          <w:b/>
          <w:sz w:val="36"/>
          <w:szCs w:val="36"/>
        </w:rPr>
      </w:pPr>
      <w:bookmarkStart w:id="26" w:name="_Toc12320_WPSOffice_Level1"/>
      <w:bookmarkStart w:id="27" w:name="_Toc15159_WPSOffice_Level1"/>
    </w:p>
    <w:p>
      <w:pPr>
        <w:autoSpaceDE w:val="0"/>
        <w:autoSpaceDN w:val="0"/>
        <w:adjustRightInd w:val="0"/>
        <w:jc w:val="center"/>
        <w:rPr>
          <w:rFonts w:hint="eastAsia" w:ascii="微软雅黑" w:hAnsi="微软雅黑" w:eastAsia="微软雅黑" w:cs="微软雅黑"/>
          <w:b/>
          <w:sz w:val="21"/>
          <w:szCs w:val="21"/>
        </w:rPr>
      </w:pPr>
      <w:r>
        <w:rPr>
          <w:rFonts w:hint="eastAsia" w:ascii="微软雅黑" w:hAnsi="微软雅黑" w:eastAsia="微软雅黑" w:cs="微软雅黑"/>
          <w:b/>
          <w:sz w:val="36"/>
          <w:szCs w:val="36"/>
        </w:rPr>
        <w:t>前  言</w:t>
      </w:r>
      <w:bookmarkEnd w:id="26"/>
      <w:bookmarkEnd w:id="27"/>
    </w:p>
    <w:p>
      <w:pPr>
        <w:spacing w:line="240" w:lineRule="auto"/>
        <w:ind w:firstLine="580"/>
        <w:jc w:val="both"/>
        <w:rPr>
          <w:rFonts w:hint="eastAsia" w:ascii="华文细黑" w:hAnsi="华文细黑" w:eastAsia="华文细黑" w:cs="华文细黑"/>
          <w:kern w:val="0"/>
          <w:sz w:val="24"/>
          <w:szCs w:val="24"/>
        </w:rPr>
      </w:pPr>
    </w:p>
    <w:p>
      <w:pPr>
        <w:spacing w:line="240" w:lineRule="auto"/>
        <w:ind w:firstLine="580"/>
        <w:jc w:val="both"/>
        <w:rPr>
          <w:rFonts w:hint="eastAsia" w:ascii="华文细黑" w:hAnsi="华文细黑" w:eastAsia="华文细黑" w:cs="华文细黑"/>
          <w:sz w:val="24"/>
          <w:szCs w:val="24"/>
        </w:rPr>
      </w:pPr>
      <w:r>
        <w:rPr>
          <w:rFonts w:hint="eastAsia" w:ascii="华文细黑" w:hAnsi="华文细黑" w:eastAsia="华文细黑" w:cs="华文细黑"/>
          <w:kern w:val="0"/>
          <w:sz w:val="24"/>
          <w:szCs w:val="24"/>
        </w:rPr>
        <w:t>衷心感谢贵单位参加“</w:t>
      </w:r>
      <w:r>
        <w:rPr>
          <w:rFonts w:hint="eastAsia" w:ascii="华文细黑" w:hAnsi="华文细黑" w:eastAsia="华文细黑" w:cs="华文细黑"/>
          <w:kern w:val="0"/>
          <w:sz w:val="24"/>
          <w:szCs w:val="24"/>
          <w:highlight w:val="none"/>
        </w:rPr>
        <w:t>2019第三届中国（厦门）国际绿色建筑产业博览会</w:t>
      </w:r>
      <w:r>
        <w:rPr>
          <w:rFonts w:hint="eastAsia" w:ascii="华文细黑" w:hAnsi="华文细黑" w:eastAsia="华文细黑" w:cs="华文细黑"/>
          <w:kern w:val="0"/>
          <w:sz w:val="24"/>
          <w:szCs w:val="24"/>
        </w:rPr>
        <w:t>”福建-地坪展。为把本次展办成高水准、国际化有特色的产业盛会，使各参展企业都能获得周到、完善的服务；为确保</w:t>
      </w:r>
      <w:r>
        <w:rPr>
          <w:rFonts w:hint="eastAsia" w:ascii="华文细黑" w:hAnsi="华文细黑" w:eastAsia="华文细黑" w:cs="华文细黑"/>
          <w:kern w:val="0"/>
          <w:sz w:val="24"/>
          <w:szCs w:val="24"/>
          <w:highlight w:val="none"/>
          <w:lang w:val="en-US" w:eastAsia="zh-CN"/>
        </w:rPr>
        <w:t>2019第三届中国（厦门）国际绿色建筑产业博览会福建-地坪展</w:t>
      </w:r>
      <w:r>
        <w:rPr>
          <w:rFonts w:hint="eastAsia" w:ascii="华文细黑" w:hAnsi="华文细黑" w:eastAsia="华文细黑" w:cs="华文细黑"/>
          <w:kern w:val="0"/>
          <w:sz w:val="24"/>
          <w:szCs w:val="24"/>
        </w:rPr>
        <w:t>在良好的环境秩序下取得圆满成功，特制定本参展商手册，以供各参展企业参照和遵守。请仔细通读本手册，以熟悉参展程序并提前作好有关参展准备工作。</w:t>
      </w:r>
      <w:r>
        <w:rPr>
          <w:rFonts w:hint="eastAsia" w:ascii="华文细黑" w:hAnsi="华文细黑" w:eastAsia="华文细黑" w:cs="华文细黑"/>
          <w:kern w:val="0"/>
          <w:sz w:val="24"/>
          <w:szCs w:val="24"/>
        </w:rPr>
        <w:br w:type="textWrapping"/>
      </w:r>
      <w:r>
        <w:rPr>
          <w:rFonts w:hint="eastAsia" w:ascii="华文细黑" w:hAnsi="华文细黑" w:eastAsia="华文细黑" w:cs="华文细黑"/>
          <w:kern w:val="0"/>
          <w:sz w:val="24"/>
          <w:szCs w:val="24"/>
        </w:rPr>
        <w:t xml:space="preserve">    为了能顺利布展、参展和撤展，请各参展企业根据自身的实际需要，认真填写本手册中的有关表格，并在规定的截止时间之前回传至</w:t>
      </w:r>
      <w:r>
        <w:rPr>
          <w:rFonts w:hint="eastAsia" w:ascii="华文细黑" w:hAnsi="华文细黑" w:eastAsia="华文细黑" w:cs="华文细黑"/>
          <w:color w:val="0000FF"/>
          <w:kern w:val="0"/>
          <w:sz w:val="24"/>
          <w:szCs w:val="24"/>
          <w:lang w:eastAsia="zh-CN"/>
        </w:rPr>
        <w:t>主办</w:t>
      </w:r>
      <w:r>
        <w:rPr>
          <w:rFonts w:hint="eastAsia" w:ascii="华文细黑" w:hAnsi="华文细黑" w:eastAsia="华文细黑" w:cs="华文细黑"/>
          <w:kern w:val="0"/>
          <w:sz w:val="24"/>
          <w:szCs w:val="24"/>
          <w:lang w:eastAsia="zh-CN"/>
        </w:rPr>
        <w:t>单位</w:t>
      </w:r>
      <w:r>
        <w:rPr>
          <w:rFonts w:hint="eastAsia" w:ascii="华文细黑" w:hAnsi="华文细黑" w:eastAsia="华文细黑" w:cs="华文细黑"/>
          <w:kern w:val="0"/>
          <w:sz w:val="24"/>
          <w:szCs w:val="24"/>
        </w:rPr>
        <w:t>——</w:t>
      </w:r>
      <w:r>
        <w:rPr>
          <w:rFonts w:hint="eastAsia" w:ascii="华文细黑" w:hAnsi="华文细黑" w:eastAsia="华文细黑" w:cs="华文细黑"/>
          <w:b/>
          <w:bCs/>
          <w:color w:val="0000FF"/>
          <w:kern w:val="0"/>
          <w:sz w:val="24"/>
          <w:szCs w:val="24"/>
          <w:lang w:eastAsia="zh-CN"/>
        </w:rPr>
        <w:t>福建省地坪行业协会。</w:t>
      </w:r>
      <w:r>
        <w:rPr>
          <w:rFonts w:hint="eastAsia" w:ascii="华文细黑" w:hAnsi="华文细黑" w:eastAsia="华文细黑" w:cs="华文细黑"/>
          <w:color w:val="0000FF"/>
          <w:kern w:val="0"/>
          <w:sz w:val="24"/>
          <w:szCs w:val="24"/>
          <w:lang w:eastAsia="zh-CN"/>
        </w:rPr>
        <w:t>邮箱</w:t>
      </w:r>
      <w:r>
        <w:rPr>
          <w:rFonts w:hint="eastAsia" w:ascii="华文细黑" w:hAnsi="华文细黑" w:eastAsia="华文细黑" w:cs="华文细黑"/>
          <w:color w:val="0000FF"/>
          <w:kern w:val="0"/>
          <w:sz w:val="24"/>
          <w:szCs w:val="24"/>
          <w:highlight w:val="none"/>
        </w:rPr>
        <w:t>（</w:t>
      </w:r>
      <w:r>
        <w:rPr>
          <w:rFonts w:hint="eastAsia" w:ascii="华文细黑" w:hAnsi="华文细黑" w:eastAsia="华文细黑" w:cs="华文细黑"/>
          <w:color w:val="0000FF"/>
          <w:kern w:val="0"/>
          <w:sz w:val="24"/>
          <w:szCs w:val="24"/>
          <w:highlight w:val="none"/>
          <w:u w:val="none"/>
          <w:lang w:val="en-US" w:eastAsia="zh-CN"/>
        </w:rPr>
        <w:t>fjfloor@163.com</w:t>
      </w:r>
      <w:r>
        <w:rPr>
          <w:rFonts w:hint="eastAsia" w:ascii="华文细黑" w:hAnsi="华文细黑" w:eastAsia="华文细黑" w:cs="华文细黑"/>
          <w:color w:val="0000FF"/>
          <w:kern w:val="0"/>
          <w:sz w:val="24"/>
          <w:szCs w:val="24"/>
          <w:highlight w:val="none"/>
        </w:rPr>
        <w:t>）</w:t>
      </w:r>
      <w:r>
        <w:rPr>
          <w:rFonts w:hint="eastAsia" w:ascii="华文细黑" w:hAnsi="华文细黑" w:eastAsia="华文细黑" w:cs="华文细黑"/>
          <w:kern w:val="0"/>
          <w:sz w:val="24"/>
          <w:szCs w:val="24"/>
        </w:rPr>
        <w:t>。</w:t>
      </w:r>
      <w:r>
        <w:rPr>
          <w:rFonts w:hint="eastAsia" w:ascii="华文细黑" w:hAnsi="华文细黑" w:eastAsia="华文细黑" w:cs="华文细黑"/>
          <w:kern w:val="0"/>
          <w:sz w:val="24"/>
          <w:szCs w:val="24"/>
        </w:rPr>
        <w:br w:type="textWrapping"/>
      </w:r>
      <w:r>
        <w:rPr>
          <w:rFonts w:hint="eastAsia" w:ascii="华文细黑" w:hAnsi="华文细黑" w:eastAsia="华文细黑" w:cs="华文细黑"/>
          <w:kern w:val="0"/>
          <w:sz w:val="24"/>
          <w:szCs w:val="24"/>
        </w:rPr>
        <w:t xml:space="preserve">    凡参加</w:t>
      </w:r>
      <w:r>
        <w:rPr>
          <w:rFonts w:hint="eastAsia" w:ascii="华文细黑" w:hAnsi="华文细黑" w:eastAsia="华文细黑" w:cs="华文细黑"/>
          <w:kern w:val="0"/>
          <w:sz w:val="24"/>
          <w:szCs w:val="24"/>
          <w:highlight w:val="none"/>
          <w:lang w:val="en-US" w:eastAsia="zh-CN"/>
        </w:rPr>
        <w:t>2019第三届中国（厦门）国际绿色建筑产业博览会福建-地坪展</w:t>
      </w:r>
      <w:r>
        <w:rPr>
          <w:rFonts w:hint="eastAsia" w:ascii="华文细黑" w:hAnsi="华文细黑" w:eastAsia="华文细黑" w:cs="华文细黑"/>
          <w:kern w:val="0"/>
          <w:sz w:val="24"/>
          <w:szCs w:val="24"/>
        </w:rPr>
        <w:t>的单位，应遵守本《参展商手册》中的所有规定，如有疑问，请及时联系相关负责人，以便及时采取完善改进措施。贵单位如需要更详细的信息或进一步的帮助，请直接与</w:t>
      </w:r>
      <w:r>
        <w:rPr>
          <w:rFonts w:hint="eastAsia" w:ascii="华文细黑" w:hAnsi="华文细黑" w:eastAsia="华文细黑" w:cs="华文细黑"/>
          <w:b/>
          <w:bCs/>
          <w:kern w:val="0"/>
          <w:sz w:val="24"/>
          <w:szCs w:val="24"/>
        </w:rPr>
        <w:t>2019第三届中国（厦门）国际绿色建筑产业博览会福建-地坪展组委会</w:t>
      </w:r>
      <w:r>
        <w:rPr>
          <w:rFonts w:hint="eastAsia" w:ascii="华文细黑" w:hAnsi="华文细黑" w:eastAsia="华文细黑" w:cs="华文细黑"/>
          <w:b/>
          <w:bCs/>
          <w:kern w:val="0"/>
          <w:sz w:val="24"/>
          <w:szCs w:val="24"/>
          <w:lang w:val="en-US" w:eastAsia="zh-CN"/>
        </w:rPr>
        <w:t>直接联系</w:t>
      </w:r>
      <w:r>
        <w:rPr>
          <w:rFonts w:hint="eastAsia" w:ascii="华文细黑" w:hAnsi="华文细黑" w:eastAsia="华文细黑" w:cs="华文细黑"/>
          <w:kern w:val="0"/>
          <w:sz w:val="24"/>
          <w:szCs w:val="24"/>
        </w:rPr>
        <w:t>；展会期间，如需帮助可到“展商服务处及主场搭建商服务处”咨询。</w:t>
      </w:r>
      <w:r>
        <w:rPr>
          <w:rFonts w:hint="eastAsia" w:ascii="华文细黑" w:hAnsi="华文细黑" w:eastAsia="华文细黑" w:cs="华文细黑"/>
          <w:kern w:val="0"/>
          <w:sz w:val="24"/>
          <w:szCs w:val="24"/>
        </w:rPr>
        <w:br w:type="textWrapping"/>
      </w:r>
      <w:r>
        <w:rPr>
          <w:rFonts w:hint="eastAsia" w:ascii="华文细黑" w:hAnsi="华文细黑" w:eastAsia="华文细黑" w:cs="华文细黑"/>
          <w:kern w:val="0"/>
          <w:sz w:val="24"/>
          <w:szCs w:val="24"/>
        </w:rPr>
        <w:t xml:space="preserve">  </w:t>
      </w:r>
      <w:r>
        <w:rPr>
          <w:rFonts w:hint="eastAsia" w:ascii="华文细黑" w:hAnsi="华文细黑" w:eastAsia="华文细黑" w:cs="华文细黑"/>
          <w:color w:val="0000FF"/>
          <w:kern w:val="0"/>
          <w:sz w:val="24"/>
          <w:szCs w:val="24"/>
        </w:rPr>
        <w:t xml:space="preserve">  本手册的解释权归大会主办方所有。</w:t>
      </w:r>
      <w:r>
        <w:rPr>
          <w:rFonts w:hint="eastAsia" w:ascii="华文细黑" w:hAnsi="华文细黑" w:eastAsia="华文细黑" w:cs="华文细黑"/>
          <w:sz w:val="24"/>
          <w:szCs w:val="24"/>
        </w:rPr>
        <w:t xml:space="preserve"> </w:t>
      </w:r>
    </w:p>
    <w:p>
      <w:pPr>
        <w:spacing w:line="240" w:lineRule="auto"/>
        <w:ind w:firstLine="480" w:firstLineChars="200"/>
        <w:rPr>
          <w:rFonts w:hint="eastAsia" w:ascii="华文细黑" w:hAnsi="华文细黑" w:eastAsia="华文细黑" w:cs="华文细黑"/>
          <w:spacing w:val="22"/>
          <w:sz w:val="24"/>
          <w:szCs w:val="24"/>
        </w:rPr>
      </w:pPr>
      <w:r>
        <w:rPr>
          <w:rFonts w:hint="eastAsia" w:ascii="华文细黑" w:hAnsi="华文细黑" w:eastAsia="华文细黑" w:cs="华文细黑"/>
          <w:kern w:val="0"/>
          <w:sz w:val="24"/>
          <w:szCs w:val="24"/>
        </w:rPr>
        <w:t>我们衷心感谢各位的大力支持与参与，并期望与您相约在201</w:t>
      </w:r>
      <w:r>
        <w:rPr>
          <w:rFonts w:hint="eastAsia" w:ascii="华文细黑" w:hAnsi="华文细黑" w:eastAsia="华文细黑" w:cs="华文细黑"/>
          <w:kern w:val="0"/>
          <w:sz w:val="24"/>
          <w:szCs w:val="24"/>
          <w:lang w:val="en-US" w:eastAsia="zh-CN"/>
        </w:rPr>
        <w:t>9</w:t>
      </w:r>
      <w:r>
        <w:rPr>
          <w:rFonts w:hint="eastAsia" w:ascii="华文细黑" w:hAnsi="华文细黑" w:eastAsia="华文细黑" w:cs="华文细黑"/>
          <w:kern w:val="0"/>
          <w:sz w:val="24"/>
          <w:szCs w:val="24"/>
        </w:rPr>
        <w:t>年1</w:t>
      </w:r>
      <w:r>
        <w:rPr>
          <w:rFonts w:hint="eastAsia" w:ascii="华文细黑" w:hAnsi="华文细黑" w:eastAsia="华文细黑" w:cs="华文细黑"/>
          <w:kern w:val="0"/>
          <w:sz w:val="24"/>
          <w:szCs w:val="24"/>
          <w:lang w:val="en-US" w:eastAsia="zh-CN"/>
        </w:rPr>
        <w:t>1</w:t>
      </w:r>
      <w:r>
        <w:rPr>
          <w:rFonts w:hint="eastAsia" w:ascii="华文细黑" w:hAnsi="华文细黑" w:eastAsia="华文细黑" w:cs="华文细黑"/>
          <w:kern w:val="0"/>
          <w:sz w:val="24"/>
          <w:szCs w:val="24"/>
        </w:rPr>
        <w:t>月的美丽厦门</w:t>
      </w:r>
      <w:r>
        <w:rPr>
          <w:rFonts w:hint="eastAsia" w:ascii="华文细黑" w:hAnsi="华文细黑" w:eastAsia="华文细黑" w:cs="华文细黑"/>
          <w:sz w:val="24"/>
          <w:szCs w:val="24"/>
        </w:rPr>
        <w:t>！</w:t>
      </w:r>
    </w:p>
    <w:p>
      <w:pPr>
        <w:wordWrap w:val="0"/>
        <w:rPr>
          <w:rFonts w:ascii="宋体" w:hAnsi="宋体" w:cs="等线"/>
        </w:rPr>
      </w:pPr>
      <w:r>
        <w:rPr>
          <w:rFonts w:hint="eastAsia" w:ascii="华文细黑" w:hAnsi="华文细黑" w:eastAsia="华文细黑" w:cs="华文细黑"/>
          <w:spacing w:val="22"/>
          <w:sz w:val="28"/>
          <w:szCs w:val="28"/>
        </w:rPr>
        <w:t xml:space="preserve">                 </w:t>
      </w:r>
    </w:p>
    <w:p>
      <w:pPr>
        <w:pStyle w:val="13"/>
        <w:jc w:val="both"/>
        <w:outlineLvl w:val="0"/>
        <w:rPr>
          <w:rFonts w:hint="eastAsia" w:ascii="华文细黑" w:hAnsi="华文细黑" w:eastAsia="华文细黑" w:cs="华文细黑"/>
          <w:b/>
          <w:bCs/>
          <w:color w:val="0000FF"/>
          <w:kern w:val="0"/>
          <w:sz w:val="24"/>
          <w:szCs w:val="24"/>
          <w:lang w:val="en-US" w:eastAsia="zh-CN"/>
        </w:rPr>
      </w:pPr>
      <w:r>
        <w:rPr>
          <w:rFonts w:hint="eastAsia" w:ascii="华文细黑" w:hAnsi="华文细黑" w:eastAsia="华文细黑" w:cs="华文细黑"/>
          <w:b/>
          <w:bCs/>
          <w:color w:val="0000FF"/>
          <w:kern w:val="0"/>
          <w:sz w:val="24"/>
          <w:szCs w:val="24"/>
          <w:lang w:val="en-US" w:eastAsia="zh-CN" w:bidi="ar-SA"/>
        </w:rPr>
        <w:t>相关信息可与</w:t>
      </w:r>
      <w:r>
        <w:rPr>
          <w:rFonts w:hint="eastAsia" w:ascii="华文细黑" w:hAnsi="华文细黑" w:eastAsia="华文细黑" w:cs="华文细黑"/>
          <w:b/>
          <w:bCs/>
          <w:color w:val="0000FF"/>
          <w:kern w:val="0"/>
          <w:sz w:val="24"/>
          <w:szCs w:val="24"/>
        </w:rPr>
        <w:t>2019第三届中国（厦门）国际绿色建筑产业博览会组委会福建-地坪展</w:t>
      </w:r>
      <w:r>
        <w:rPr>
          <w:rFonts w:hint="eastAsia" w:ascii="华文细黑" w:hAnsi="华文细黑" w:eastAsia="华文细黑" w:cs="华文细黑"/>
          <w:b/>
          <w:bCs/>
          <w:color w:val="0000FF"/>
          <w:kern w:val="0"/>
          <w:sz w:val="24"/>
          <w:szCs w:val="24"/>
          <w:lang w:val="en-US" w:eastAsia="zh-CN"/>
        </w:rPr>
        <w:t>直接联系。</w:t>
      </w:r>
    </w:p>
    <w:p>
      <w:pPr>
        <w:rPr>
          <w:rFonts w:hint="eastAsia"/>
          <w:lang w:val="en-US" w:eastAsia="zh-CN"/>
        </w:rPr>
      </w:pPr>
    </w:p>
    <w:p>
      <w:pPr>
        <w:rPr>
          <w:rFonts w:hint="eastAsia"/>
          <w:lang w:val="en-US" w:eastAsia="zh-CN"/>
        </w:rPr>
      </w:pPr>
    </w:p>
    <w:p>
      <w:pPr>
        <w:numPr>
          <w:ilvl w:val="0"/>
          <w:numId w:val="0"/>
        </w:numPr>
        <w:autoSpaceDE w:val="0"/>
        <w:autoSpaceDN w:val="0"/>
        <w:adjustRightInd w:val="0"/>
        <w:spacing w:line="240" w:lineRule="auto"/>
        <w:jc w:val="left"/>
        <w:rPr>
          <w:rFonts w:hint="eastAsia" w:ascii="华文细黑" w:hAnsi="华文细黑" w:eastAsia="华文细黑" w:cs="华文细黑"/>
          <w:b/>
          <w:kern w:val="0"/>
          <w:sz w:val="32"/>
          <w:szCs w:val="32"/>
        </w:rPr>
      </w:pPr>
      <w:bookmarkStart w:id="28" w:name="_Toc29455_WPSOffice_Level1"/>
      <w:bookmarkStart w:id="29" w:name="_Toc14546_WPSOffice_Level1"/>
      <w:r>
        <w:rPr>
          <w:rFonts w:hint="eastAsia" w:ascii="华文细黑" w:hAnsi="华文细黑" w:eastAsia="华文细黑" w:cs="华文细黑"/>
          <w:b/>
          <w:kern w:val="0"/>
          <w:sz w:val="32"/>
          <w:szCs w:val="32"/>
          <w:lang w:eastAsia="zh-CN"/>
        </w:rPr>
        <w:t>一、</w:t>
      </w:r>
      <w:r>
        <w:rPr>
          <w:rFonts w:hint="eastAsia" w:ascii="华文细黑" w:hAnsi="华文细黑" w:eastAsia="华文细黑" w:cs="华文细黑"/>
          <w:b/>
          <w:kern w:val="0"/>
          <w:sz w:val="32"/>
          <w:szCs w:val="32"/>
        </w:rPr>
        <w:t>展会概要</w:t>
      </w:r>
      <w:bookmarkEnd w:id="28"/>
      <w:bookmarkEnd w:id="29"/>
    </w:p>
    <w:p>
      <w:pPr>
        <w:autoSpaceDE w:val="0"/>
        <w:autoSpaceDN w:val="0"/>
        <w:adjustRightInd w:val="0"/>
        <w:spacing w:line="240" w:lineRule="auto"/>
        <w:jc w:val="left"/>
        <w:rPr>
          <w:rFonts w:hint="eastAsia" w:ascii="华文细黑" w:hAnsi="华文细黑" w:eastAsia="华文细黑" w:cs="华文细黑"/>
          <w:b/>
          <w:kern w:val="0"/>
          <w:sz w:val="28"/>
          <w:szCs w:val="28"/>
        </w:rPr>
      </w:pPr>
      <w:bookmarkStart w:id="30" w:name="_Toc14546_WPSOffice_Level2"/>
      <w:r>
        <w:rPr>
          <w:rFonts w:hint="eastAsia" w:ascii="华文细黑" w:hAnsi="华文细黑" w:eastAsia="华文细黑" w:cs="华文细黑"/>
          <w:b/>
          <w:kern w:val="0"/>
          <w:sz w:val="28"/>
          <w:szCs w:val="28"/>
        </w:rPr>
        <w:t>1.展会地点</w:t>
      </w:r>
      <w:bookmarkEnd w:id="30"/>
    </w:p>
    <w:p>
      <w:pPr>
        <w:autoSpaceDE w:val="0"/>
        <w:autoSpaceDN w:val="0"/>
        <w:adjustRightInd w:val="0"/>
        <w:spacing w:line="240" w:lineRule="auto"/>
        <w:jc w:val="left"/>
        <w:rPr>
          <w:rFonts w:hint="eastAsia" w:ascii="华文细黑" w:hAnsi="华文细黑" w:eastAsia="华文细黑" w:cs="华文细黑"/>
          <w:b/>
          <w:kern w:val="0"/>
          <w:sz w:val="28"/>
          <w:szCs w:val="28"/>
          <w:lang w:val="en-US" w:eastAsia="zh-CN"/>
        </w:rPr>
      </w:pPr>
      <w:r>
        <w:rPr>
          <w:rFonts w:hint="eastAsia" w:ascii="华文细黑" w:hAnsi="华文细黑" w:eastAsia="华文细黑" w:cs="华文细黑"/>
          <w:sz w:val="28"/>
          <w:szCs w:val="28"/>
        </w:rPr>
        <w:t>福建·厦门国际会展中心</w:t>
      </w:r>
      <w:r>
        <w:rPr>
          <w:rFonts w:hint="eastAsia" w:ascii="华文细黑" w:hAnsi="华文细黑" w:eastAsia="华文细黑" w:cs="华文细黑"/>
          <w:sz w:val="28"/>
          <w:szCs w:val="28"/>
          <w:lang w:val="en-US" w:eastAsia="zh-CN"/>
        </w:rPr>
        <w:t>A4馆</w:t>
      </w:r>
    </w:p>
    <w:p>
      <w:pPr>
        <w:autoSpaceDE w:val="0"/>
        <w:autoSpaceDN w:val="0"/>
        <w:adjustRightInd w:val="0"/>
        <w:spacing w:line="240" w:lineRule="auto"/>
        <w:jc w:val="left"/>
        <w:rPr>
          <w:rFonts w:hint="eastAsia" w:ascii="华文细黑" w:hAnsi="华文细黑" w:eastAsia="华文细黑" w:cs="华文细黑"/>
          <w:b/>
          <w:kern w:val="0"/>
          <w:sz w:val="28"/>
          <w:szCs w:val="28"/>
          <w:highlight w:val="yellow"/>
        </w:rPr>
      </w:pPr>
      <w:bookmarkStart w:id="31" w:name="_Toc29065_WPSOffice_Level2"/>
      <w:r>
        <w:rPr>
          <w:rFonts w:hint="eastAsia" w:ascii="华文细黑" w:hAnsi="华文细黑" w:eastAsia="华文细黑" w:cs="华文细黑"/>
          <w:b/>
          <w:kern w:val="0"/>
          <w:sz w:val="28"/>
          <w:szCs w:val="28"/>
          <w:highlight w:val="none"/>
        </w:rPr>
        <w:t>2.时间安排</w:t>
      </w:r>
      <w:bookmarkEnd w:id="31"/>
    </w:p>
    <w:tbl>
      <w:tblPr>
        <w:tblStyle w:val="17"/>
        <w:tblpPr w:leftFromText="180" w:rightFromText="180" w:vertAnchor="text" w:horzAnchor="page" w:tblpXSpec="center" w:tblpY="300"/>
        <w:tblOverlap w:val="never"/>
        <w:tblW w:w="9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268"/>
        <w:gridCol w:w="2048"/>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668" w:type="dxa"/>
            <w:shd w:val="clear" w:color="auto" w:fill="E6E6E6"/>
            <w:noWrap w:val="0"/>
            <w:vAlign w:val="center"/>
          </w:tcPr>
          <w:p>
            <w:pPr>
              <w:spacing w:line="240" w:lineRule="exact"/>
              <w:jc w:val="center"/>
              <w:rPr>
                <w:rFonts w:hint="eastAsia" w:ascii="华文细黑" w:hAnsi="华文细黑" w:eastAsia="华文细黑" w:cs="华文细黑"/>
                <w:b/>
                <w:bCs/>
                <w:sz w:val="24"/>
                <w:szCs w:val="24"/>
              </w:rPr>
            </w:pPr>
            <w:r>
              <w:rPr>
                <w:rFonts w:hint="eastAsia" w:ascii="华文细黑" w:hAnsi="华文细黑" w:eastAsia="华文细黑" w:cs="华文细黑"/>
                <w:b/>
                <w:bCs/>
                <w:sz w:val="24"/>
                <w:szCs w:val="24"/>
              </w:rPr>
              <w:t>项目内容</w:t>
            </w:r>
          </w:p>
        </w:tc>
        <w:tc>
          <w:tcPr>
            <w:tcW w:w="2268" w:type="dxa"/>
            <w:shd w:val="clear" w:color="auto" w:fill="E6E6E6"/>
            <w:noWrap w:val="0"/>
            <w:vAlign w:val="center"/>
          </w:tcPr>
          <w:p>
            <w:pPr>
              <w:spacing w:line="240" w:lineRule="exact"/>
              <w:jc w:val="center"/>
              <w:rPr>
                <w:rFonts w:hint="eastAsia" w:ascii="华文细黑" w:hAnsi="华文细黑" w:eastAsia="华文细黑" w:cs="华文细黑"/>
                <w:b/>
                <w:bCs/>
                <w:sz w:val="24"/>
                <w:szCs w:val="24"/>
              </w:rPr>
            </w:pPr>
            <w:r>
              <w:rPr>
                <w:rFonts w:hint="eastAsia" w:ascii="华文细黑" w:hAnsi="华文细黑" w:eastAsia="华文细黑" w:cs="华文细黑"/>
                <w:b/>
                <w:bCs/>
                <w:sz w:val="24"/>
                <w:szCs w:val="24"/>
              </w:rPr>
              <w:t>日期</w:t>
            </w:r>
          </w:p>
        </w:tc>
        <w:tc>
          <w:tcPr>
            <w:tcW w:w="2048" w:type="dxa"/>
            <w:shd w:val="clear" w:color="auto" w:fill="E6E6E6"/>
            <w:noWrap w:val="0"/>
            <w:vAlign w:val="center"/>
          </w:tcPr>
          <w:p>
            <w:pPr>
              <w:spacing w:line="240" w:lineRule="exact"/>
              <w:jc w:val="center"/>
              <w:rPr>
                <w:rFonts w:hint="eastAsia" w:ascii="华文细黑" w:hAnsi="华文细黑" w:eastAsia="华文细黑" w:cs="华文细黑"/>
                <w:b/>
                <w:bCs/>
                <w:sz w:val="24"/>
                <w:szCs w:val="24"/>
              </w:rPr>
            </w:pPr>
            <w:r>
              <w:rPr>
                <w:rFonts w:hint="eastAsia" w:ascii="华文细黑" w:hAnsi="华文细黑" w:eastAsia="华文细黑" w:cs="华文细黑"/>
                <w:b/>
                <w:bCs/>
                <w:sz w:val="24"/>
                <w:szCs w:val="24"/>
              </w:rPr>
              <w:t>时间</w:t>
            </w:r>
          </w:p>
        </w:tc>
        <w:tc>
          <w:tcPr>
            <w:tcW w:w="3816" w:type="dxa"/>
            <w:shd w:val="clear" w:color="auto" w:fill="E6E6E6"/>
            <w:noWrap w:val="0"/>
            <w:vAlign w:val="center"/>
          </w:tcPr>
          <w:p>
            <w:pPr>
              <w:spacing w:line="240" w:lineRule="exact"/>
              <w:jc w:val="center"/>
              <w:rPr>
                <w:rFonts w:hint="eastAsia" w:ascii="华文细黑" w:hAnsi="华文细黑" w:eastAsia="华文细黑" w:cs="华文细黑"/>
                <w:b/>
                <w:bCs/>
                <w:sz w:val="24"/>
                <w:szCs w:val="24"/>
              </w:rPr>
            </w:pPr>
            <w:r>
              <w:rPr>
                <w:rFonts w:hint="eastAsia" w:ascii="华文细黑" w:hAnsi="华文细黑" w:eastAsia="华文细黑" w:cs="华文细黑"/>
                <w:b/>
                <w:bCs/>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5" w:hRule="atLeast"/>
          <w:jc w:val="center"/>
        </w:trPr>
        <w:tc>
          <w:tcPr>
            <w:tcW w:w="1668" w:type="dxa"/>
            <w:shd w:val="clear" w:color="auto" w:fill="FFFFFF"/>
            <w:noWrap w:val="0"/>
            <w:vAlign w:val="center"/>
          </w:tcPr>
          <w:p>
            <w:pPr>
              <w:spacing w:line="240" w:lineRule="exac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特装布展时间</w:t>
            </w:r>
          </w:p>
        </w:tc>
        <w:tc>
          <w:tcPr>
            <w:tcW w:w="4316" w:type="dxa"/>
            <w:gridSpan w:val="2"/>
            <w:shd w:val="clear" w:color="auto" w:fill="FFFFFF"/>
            <w:noWrap w:val="0"/>
            <w:vAlign w:val="center"/>
          </w:tcPr>
          <w:p>
            <w:pPr>
              <w:spacing w:line="240" w:lineRule="exact"/>
              <w:rPr>
                <w:rFonts w:hint="eastAsia" w:ascii="华文细黑" w:hAnsi="华文细黑" w:eastAsia="华文细黑" w:cs="华文细黑"/>
                <w:color w:val="FF0000"/>
                <w:sz w:val="24"/>
                <w:szCs w:val="24"/>
                <w:highlight w:val="none"/>
                <w:lang w:val="en-US" w:eastAsia="zh-CN"/>
              </w:rPr>
            </w:pPr>
            <w:r>
              <w:rPr>
                <w:rFonts w:hint="eastAsia" w:ascii="华文细黑" w:hAnsi="华文细黑" w:eastAsia="华文细黑" w:cs="华文细黑"/>
                <w:color w:val="FF0000"/>
                <w:sz w:val="24"/>
                <w:szCs w:val="24"/>
                <w:highlight w:val="none"/>
              </w:rPr>
              <w:t>201</w:t>
            </w:r>
            <w:r>
              <w:rPr>
                <w:rFonts w:hint="eastAsia" w:ascii="华文细黑" w:hAnsi="华文细黑" w:eastAsia="华文细黑" w:cs="华文细黑"/>
                <w:color w:val="FF0000"/>
                <w:sz w:val="24"/>
                <w:szCs w:val="24"/>
                <w:highlight w:val="none"/>
                <w:lang w:val="en-US" w:eastAsia="zh-CN"/>
              </w:rPr>
              <w:t>9</w:t>
            </w:r>
            <w:r>
              <w:rPr>
                <w:rFonts w:hint="eastAsia" w:ascii="华文细黑" w:hAnsi="华文细黑" w:eastAsia="华文细黑" w:cs="华文细黑"/>
                <w:color w:val="FF0000"/>
                <w:sz w:val="24"/>
                <w:szCs w:val="24"/>
                <w:highlight w:val="none"/>
              </w:rPr>
              <w:t>年1</w:t>
            </w:r>
            <w:r>
              <w:rPr>
                <w:rFonts w:hint="eastAsia" w:ascii="华文细黑" w:hAnsi="华文细黑" w:eastAsia="华文细黑" w:cs="华文细黑"/>
                <w:color w:val="FF0000"/>
                <w:sz w:val="24"/>
                <w:szCs w:val="24"/>
                <w:highlight w:val="none"/>
                <w:lang w:val="en-US" w:eastAsia="zh-CN"/>
              </w:rPr>
              <w:t>1</w:t>
            </w:r>
            <w:r>
              <w:rPr>
                <w:rFonts w:hint="eastAsia" w:ascii="华文细黑" w:hAnsi="华文细黑" w:eastAsia="华文细黑" w:cs="华文细黑"/>
                <w:color w:val="FF0000"/>
                <w:sz w:val="24"/>
                <w:szCs w:val="24"/>
                <w:highlight w:val="none"/>
              </w:rPr>
              <w:t>月</w:t>
            </w:r>
            <w:r>
              <w:rPr>
                <w:rFonts w:hint="eastAsia" w:ascii="华文细黑" w:hAnsi="华文细黑" w:eastAsia="华文细黑" w:cs="华文细黑"/>
                <w:color w:val="FF0000"/>
                <w:sz w:val="24"/>
                <w:szCs w:val="24"/>
                <w:highlight w:val="none"/>
                <w:lang w:val="en-US" w:eastAsia="zh-CN"/>
              </w:rPr>
              <w:t>20-21</w:t>
            </w:r>
            <w:r>
              <w:rPr>
                <w:rFonts w:hint="eastAsia" w:ascii="华文细黑" w:hAnsi="华文细黑" w:eastAsia="华文细黑" w:cs="华文细黑"/>
                <w:color w:val="FF0000"/>
                <w:sz w:val="24"/>
                <w:szCs w:val="24"/>
                <w:highlight w:val="none"/>
              </w:rPr>
              <w:t>日 8:</w:t>
            </w:r>
            <w:r>
              <w:rPr>
                <w:rFonts w:hint="eastAsia" w:ascii="华文细黑" w:hAnsi="华文细黑" w:eastAsia="华文细黑" w:cs="华文细黑"/>
                <w:color w:val="FF0000"/>
                <w:sz w:val="24"/>
                <w:szCs w:val="24"/>
                <w:highlight w:val="none"/>
                <w:lang w:val="en-US" w:eastAsia="zh-CN"/>
              </w:rPr>
              <w:t>3</w:t>
            </w:r>
            <w:r>
              <w:rPr>
                <w:rFonts w:hint="eastAsia" w:ascii="华文细黑" w:hAnsi="华文细黑" w:eastAsia="华文细黑" w:cs="华文细黑"/>
                <w:color w:val="FF0000"/>
                <w:sz w:val="24"/>
                <w:szCs w:val="24"/>
                <w:highlight w:val="none"/>
              </w:rPr>
              <w:t>0—1</w:t>
            </w:r>
            <w:r>
              <w:rPr>
                <w:rFonts w:hint="eastAsia" w:ascii="华文细黑" w:hAnsi="华文细黑" w:eastAsia="华文细黑" w:cs="华文细黑"/>
                <w:color w:val="FF0000"/>
                <w:sz w:val="24"/>
                <w:szCs w:val="24"/>
                <w:highlight w:val="none"/>
                <w:lang w:val="en-US" w:eastAsia="zh-CN"/>
              </w:rPr>
              <w:t>7</w:t>
            </w:r>
            <w:r>
              <w:rPr>
                <w:rFonts w:hint="eastAsia" w:ascii="华文细黑" w:hAnsi="华文细黑" w:eastAsia="华文细黑" w:cs="华文细黑"/>
                <w:color w:val="FF0000"/>
                <w:sz w:val="24"/>
                <w:szCs w:val="24"/>
                <w:highlight w:val="none"/>
              </w:rPr>
              <w:t>:00</w:t>
            </w:r>
          </w:p>
        </w:tc>
        <w:tc>
          <w:tcPr>
            <w:tcW w:w="3816" w:type="dxa"/>
            <w:vMerge w:val="restart"/>
            <w:shd w:val="clear" w:color="auto" w:fill="FFFFFF"/>
            <w:noWrap w:val="0"/>
            <w:vAlign w:val="center"/>
          </w:tcPr>
          <w:p>
            <w:pPr>
              <w:numPr>
                <w:ilvl w:val="0"/>
                <w:numId w:val="1"/>
              </w:numPr>
              <w:spacing w:line="240" w:lineRule="exact"/>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布展前，需到主场服务处办理相关手续，领取布展证件。     </w:t>
            </w:r>
          </w:p>
          <w:p>
            <w:pPr>
              <w:numPr>
                <w:ilvl w:val="0"/>
                <w:numId w:val="1"/>
              </w:numPr>
              <w:spacing w:line="240" w:lineRule="exact"/>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11</w:t>
            </w:r>
            <w:r>
              <w:rPr>
                <w:rFonts w:hint="eastAsia" w:ascii="华文细黑" w:hAnsi="华文细黑" w:eastAsia="华文细黑" w:cs="华文细黑"/>
                <w:sz w:val="24"/>
                <w:szCs w:val="24"/>
              </w:rPr>
              <w:t>月</w:t>
            </w:r>
            <w:r>
              <w:rPr>
                <w:rFonts w:hint="eastAsia" w:ascii="华文细黑" w:hAnsi="华文细黑" w:eastAsia="华文细黑" w:cs="华文细黑"/>
                <w:sz w:val="24"/>
                <w:szCs w:val="24"/>
                <w:lang w:val="en-US" w:eastAsia="zh-CN"/>
              </w:rPr>
              <w:t>20-21</w:t>
            </w:r>
            <w:r>
              <w:rPr>
                <w:rFonts w:hint="eastAsia" w:ascii="华文细黑" w:hAnsi="华文细黑" w:eastAsia="华文细黑" w:cs="华文细黑"/>
                <w:sz w:val="24"/>
                <w:szCs w:val="24"/>
              </w:rPr>
              <w:t>日晚上1</w:t>
            </w:r>
            <w:r>
              <w:rPr>
                <w:rFonts w:hint="eastAsia" w:ascii="华文细黑" w:hAnsi="华文细黑" w:eastAsia="华文细黑" w:cs="华文细黑"/>
                <w:sz w:val="24"/>
                <w:szCs w:val="24"/>
                <w:lang w:val="en-US" w:eastAsia="zh-CN"/>
              </w:rPr>
              <w:t>7</w:t>
            </w:r>
            <w:r>
              <w:rPr>
                <w:rFonts w:hint="eastAsia" w:ascii="华文细黑" w:hAnsi="华文细黑" w:eastAsia="华文细黑" w:cs="华文细黑"/>
                <w:sz w:val="24"/>
                <w:szCs w:val="24"/>
              </w:rPr>
              <w:t>:00以后</w:t>
            </w:r>
            <w:r>
              <w:rPr>
                <w:rFonts w:hint="eastAsia" w:ascii="华文细黑" w:hAnsi="华文细黑" w:eastAsia="华文细黑" w:cs="华文细黑"/>
                <w:sz w:val="24"/>
                <w:szCs w:val="24"/>
                <w:lang w:val="en-US" w:eastAsia="zh-CN"/>
              </w:rPr>
              <w:t>以后</w:t>
            </w:r>
            <w:r>
              <w:rPr>
                <w:rFonts w:hint="eastAsia" w:ascii="华文细黑" w:hAnsi="华文细黑" w:eastAsia="华文细黑" w:cs="华文细黑"/>
                <w:sz w:val="24"/>
                <w:szCs w:val="24"/>
              </w:rPr>
              <w:t>如需继续布展，需提前办理加班手续（具体要求见后面详细说明）。</w:t>
            </w:r>
          </w:p>
          <w:p>
            <w:pPr>
              <w:numPr>
                <w:ilvl w:val="0"/>
                <w:numId w:val="1"/>
              </w:numPr>
              <w:spacing w:line="240" w:lineRule="exact"/>
              <w:jc w:val="left"/>
              <w:rPr>
                <w:rFonts w:hint="eastAsia" w:ascii="华文细黑" w:hAnsi="华文细黑" w:eastAsia="华文细黑" w:cs="华文细黑"/>
                <w:sz w:val="24"/>
                <w:szCs w:val="24"/>
                <w:highlight w:val="none"/>
              </w:rPr>
            </w:pPr>
            <w:r>
              <w:rPr>
                <w:rFonts w:hint="eastAsia" w:ascii="华文细黑" w:hAnsi="华文细黑" w:eastAsia="华文细黑" w:cs="华文细黑"/>
                <w:color w:val="FF0000"/>
                <w:sz w:val="24"/>
                <w:szCs w:val="24"/>
                <w:highlight w:val="none"/>
                <w:lang w:val="en-US" w:eastAsia="zh-CN"/>
              </w:rPr>
              <w:t>24</w:t>
            </w:r>
            <w:r>
              <w:rPr>
                <w:rFonts w:hint="eastAsia" w:ascii="华文细黑" w:hAnsi="华文细黑" w:eastAsia="华文细黑" w:cs="华文细黑"/>
                <w:color w:val="FF0000"/>
                <w:sz w:val="24"/>
                <w:szCs w:val="24"/>
                <w:highlight w:val="none"/>
              </w:rPr>
              <w:t>日</w:t>
            </w:r>
            <w:r>
              <w:rPr>
                <w:rFonts w:hint="eastAsia" w:ascii="华文细黑" w:hAnsi="华文细黑" w:eastAsia="华文细黑" w:cs="华文细黑"/>
                <w:color w:val="FF0000"/>
                <w:sz w:val="24"/>
                <w:szCs w:val="24"/>
                <w:highlight w:val="none"/>
                <w:lang w:val="en-US" w:eastAsia="zh-CN"/>
              </w:rPr>
              <w:t>16</w:t>
            </w:r>
            <w:r>
              <w:rPr>
                <w:rFonts w:hint="eastAsia" w:ascii="华文细黑" w:hAnsi="华文细黑" w:eastAsia="华文细黑" w:cs="华文细黑"/>
                <w:color w:val="FF0000"/>
                <w:sz w:val="24"/>
                <w:szCs w:val="24"/>
                <w:highlight w:val="none"/>
              </w:rPr>
              <w:t>：00开始连夜撤展，所有展位必须在</w:t>
            </w:r>
            <w:r>
              <w:rPr>
                <w:rFonts w:hint="eastAsia" w:ascii="华文细黑" w:hAnsi="华文细黑" w:eastAsia="华文细黑" w:cs="华文细黑"/>
                <w:color w:val="FF0000"/>
                <w:sz w:val="24"/>
                <w:szCs w:val="24"/>
                <w:highlight w:val="none"/>
                <w:lang w:val="en-US" w:eastAsia="zh-CN"/>
              </w:rPr>
              <w:t>24</w:t>
            </w:r>
            <w:r>
              <w:rPr>
                <w:rFonts w:hint="eastAsia" w:ascii="华文细黑" w:hAnsi="华文细黑" w:eastAsia="华文细黑" w:cs="华文细黑"/>
                <w:color w:val="FF0000"/>
                <w:sz w:val="24"/>
                <w:szCs w:val="24"/>
                <w:highlight w:val="none"/>
              </w:rPr>
              <w:t>日</w:t>
            </w:r>
            <w:r>
              <w:rPr>
                <w:rFonts w:hint="eastAsia" w:ascii="华文细黑" w:hAnsi="华文细黑" w:eastAsia="华文细黑" w:cs="华文细黑"/>
                <w:color w:val="FF0000"/>
                <w:sz w:val="24"/>
                <w:szCs w:val="24"/>
                <w:highlight w:val="none"/>
                <w:lang w:val="en-US" w:eastAsia="zh-CN"/>
              </w:rPr>
              <w:t>晚24</w:t>
            </w:r>
            <w:r>
              <w:rPr>
                <w:rFonts w:hint="eastAsia" w:ascii="华文细黑" w:hAnsi="华文细黑" w:eastAsia="华文细黑" w:cs="华文细黑"/>
                <w:color w:val="FF0000"/>
                <w:sz w:val="24"/>
                <w:szCs w:val="24"/>
                <w:highlight w:val="none"/>
              </w:rPr>
              <w:t>：00前撤除完毕</w:t>
            </w:r>
            <w:r>
              <w:rPr>
                <w:rFonts w:hint="eastAsia" w:ascii="华文细黑" w:hAnsi="华文细黑" w:eastAsia="华文细黑" w:cs="华文细黑"/>
                <w:color w:val="FF0000"/>
                <w:sz w:val="24"/>
                <w:szCs w:val="24"/>
                <w:highlight w:val="none"/>
                <w:lang w:eastAsia="zh-CN"/>
              </w:rPr>
              <w:t>（</w:t>
            </w:r>
            <w:r>
              <w:rPr>
                <w:rFonts w:hint="eastAsia" w:ascii="华文细黑" w:hAnsi="华文细黑" w:eastAsia="华文细黑" w:cs="华文细黑"/>
                <w:color w:val="FF0000"/>
                <w:sz w:val="24"/>
                <w:szCs w:val="24"/>
                <w:highlight w:val="none"/>
                <w:lang w:val="en-US" w:eastAsia="zh-CN"/>
              </w:rPr>
              <w:t>具体看场地档期安排）</w:t>
            </w:r>
            <w:r>
              <w:rPr>
                <w:rFonts w:hint="eastAsia" w:ascii="华文细黑" w:hAnsi="华文细黑" w:eastAsia="华文细黑" w:cs="华文细黑"/>
                <w:sz w:val="24"/>
                <w:szCs w:val="24"/>
                <w:highlight w:val="none"/>
              </w:rPr>
              <w:t>。</w:t>
            </w:r>
          </w:p>
          <w:p>
            <w:pPr>
              <w:spacing w:line="240" w:lineRule="exact"/>
              <w:jc w:val="left"/>
              <w:rPr>
                <w:rFonts w:hint="eastAsia" w:ascii="华文细黑" w:hAnsi="华文细黑" w:eastAsia="华文细黑" w:cs="华文细黑"/>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3" w:hRule="atLeast"/>
          <w:jc w:val="center"/>
        </w:trPr>
        <w:tc>
          <w:tcPr>
            <w:tcW w:w="1668" w:type="dxa"/>
            <w:shd w:val="clear" w:color="auto" w:fill="FFFFFF"/>
            <w:noWrap w:val="0"/>
            <w:vAlign w:val="center"/>
          </w:tcPr>
          <w:p>
            <w:pPr>
              <w:spacing w:line="240" w:lineRule="exac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标摊布展时间</w:t>
            </w:r>
          </w:p>
        </w:tc>
        <w:tc>
          <w:tcPr>
            <w:tcW w:w="4316" w:type="dxa"/>
            <w:gridSpan w:val="2"/>
            <w:shd w:val="clear" w:color="auto" w:fill="FFFFFF"/>
            <w:noWrap w:val="0"/>
            <w:vAlign w:val="center"/>
          </w:tcPr>
          <w:p>
            <w:pPr>
              <w:spacing w:line="240" w:lineRule="exact"/>
              <w:rPr>
                <w:rFonts w:hint="eastAsia" w:ascii="华文细黑" w:hAnsi="华文细黑" w:eastAsia="华文细黑" w:cs="华文细黑"/>
                <w:color w:val="FF0000"/>
                <w:sz w:val="24"/>
                <w:szCs w:val="24"/>
                <w:highlight w:val="none"/>
              </w:rPr>
            </w:pPr>
            <w:r>
              <w:rPr>
                <w:rFonts w:hint="eastAsia" w:ascii="华文细黑" w:hAnsi="华文细黑" w:eastAsia="华文细黑" w:cs="华文细黑"/>
                <w:color w:val="FF0000"/>
                <w:sz w:val="24"/>
                <w:szCs w:val="24"/>
                <w:highlight w:val="none"/>
              </w:rPr>
              <w:t>201</w:t>
            </w:r>
            <w:r>
              <w:rPr>
                <w:rFonts w:hint="eastAsia" w:ascii="华文细黑" w:hAnsi="华文细黑" w:eastAsia="华文细黑" w:cs="华文细黑"/>
                <w:color w:val="FF0000"/>
                <w:sz w:val="24"/>
                <w:szCs w:val="24"/>
                <w:highlight w:val="none"/>
                <w:lang w:val="en-US" w:eastAsia="zh-CN"/>
              </w:rPr>
              <w:t>9</w:t>
            </w:r>
            <w:r>
              <w:rPr>
                <w:rFonts w:hint="eastAsia" w:ascii="华文细黑" w:hAnsi="华文细黑" w:eastAsia="华文细黑" w:cs="华文细黑"/>
                <w:color w:val="FF0000"/>
                <w:sz w:val="24"/>
                <w:szCs w:val="24"/>
                <w:highlight w:val="none"/>
              </w:rPr>
              <w:t>年1</w:t>
            </w:r>
            <w:r>
              <w:rPr>
                <w:rFonts w:hint="eastAsia" w:ascii="华文细黑" w:hAnsi="华文细黑" w:eastAsia="华文细黑" w:cs="华文细黑"/>
                <w:color w:val="FF0000"/>
                <w:sz w:val="24"/>
                <w:szCs w:val="24"/>
                <w:highlight w:val="none"/>
                <w:lang w:val="en-US" w:eastAsia="zh-CN"/>
              </w:rPr>
              <w:t>1</w:t>
            </w:r>
            <w:r>
              <w:rPr>
                <w:rFonts w:hint="eastAsia" w:ascii="华文细黑" w:hAnsi="华文细黑" w:eastAsia="华文细黑" w:cs="华文细黑"/>
                <w:color w:val="FF0000"/>
                <w:sz w:val="24"/>
                <w:szCs w:val="24"/>
                <w:highlight w:val="none"/>
              </w:rPr>
              <w:t>月</w:t>
            </w:r>
            <w:r>
              <w:rPr>
                <w:rFonts w:hint="eastAsia" w:ascii="华文细黑" w:hAnsi="华文细黑" w:eastAsia="华文细黑" w:cs="华文细黑"/>
                <w:color w:val="FF0000"/>
                <w:sz w:val="24"/>
                <w:szCs w:val="24"/>
                <w:highlight w:val="none"/>
                <w:lang w:val="en-US" w:eastAsia="zh-CN"/>
              </w:rPr>
              <w:t>21</w:t>
            </w:r>
            <w:r>
              <w:rPr>
                <w:rFonts w:hint="eastAsia" w:ascii="华文细黑" w:hAnsi="华文细黑" w:eastAsia="华文细黑" w:cs="华文细黑"/>
                <w:color w:val="FF0000"/>
                <w:sz w:val="24"/>
                <w:szCs w:val="24"/>
                <w:highlight w:val="none"/>
              </w:rPr>
              <w:t>日 8:</w:t>
            </w:r>
            <w:r>
              <w:rPr>
                <w:rFonts w:hint="eastAsia" w:ascii="华文细黑" w:hAnsi="华文细黑" w:eastAsia="华文细黑" w:cs="华文细黑"/>
                <w:color w:val="FF0000"/>
                <w:sz w:val="24"/>
                <w:szCs w:val="24"/>
                <w:highlight w:val="none"/>
                <w:lang w:val="en-US" w:eastAsia="zh-CN"/>
              </w:rPr>
              <w:t>3</w:t>
            </w:r>
            <w:r>
              <w:rPr>
                <w:rFonts w:hint="eastAsia" w:ascii="华文细黑" w:hAnsi="华文细黑" w:eastAsia="华文细黑" w:cs="华文细黑"/>
                <w:color w:val="FF0000"/>
                <w:sz w:val="24"/>
                <w:szCs w:val="24"/>
                <w:highlight w:val="none"/>
              </w:rPr>
              <w:t>0—1</w:t>
            </w:r>
            <w:r>
              <w:rPr>
                <w:rFonts w:hint="eastAsia" w:ascii="华文细黑" w:hAnsi="华文细黑" w:eastAsia="华文细黑" w:cs="华文细黑"/>
                <w:color w:val="FF0000"/>
                <w:sz w:val="24"/>
                <w:szCs w:val="24"/>
                <w:highlight w:val="none"/>
                <w:lang w:val="en-US" w:eastAsia="zh-CN"/>
              </w:rPr>
              <w:t>7</w:t>
            </w:r>
            <w:r>
              <w:rPr>
                <w:rFonts w:hint="eastAsia" w:ascii="华文细黑" w:hAnsi="华文细黑" w:eastAsia="华文细黑" w:cs="华文细黑"/>
                <w:color w:val="FF0000"/>
                <w:sz w:val="24"/>
                <w:szCs w:val="24"/>
                <w:highlight w:val="none"/>
              </w:rPr>
              <w:t>:00</w:t>
            </w:r>
          </w:p>
        </w:tc>
        <w:tc>
          <w:tcPr>
            <w:tcW w:w="3816" w:type="dxa"/>
            <w:vMerge w:val="continue"/>
            <w:shd w:val="clear" w:color="auto" w:fill="E6E6E6"/>
            <w:noWrap w:val="0"/>
            <w:vAlign w:val="center"/>
          </w:tcPr>
          <w:p>
            <w:pPr>
              <w:spacing w:line="240" w:lineRule="exact"/>
              <w:jc w:val="center"/>
              <w:rPr>
                <w:rFonts w:hint="eastAsia" w:ascii="华文细黑" w:hAnsi="华文细黑" w:eastAsia="华文细黑" w:cs="华文细黑"/>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9" w:hRule="atLeast"/>
          <w:jc w:val="center"/>
        </w:trPr>
        <w:tc>
          <w:tcPr>
            <w:tcW w:w="1668" w:type="dxa"/>
            <w:shd w:val="clear" w:color="auto" w:fill="FFFFFF"/>
            <w:noWrap w:val="0"/>
            <w:vAlign w:val="center"/>
          </w:tcPr>
          <w:p>
            <w:pPr>
              <w:spacing w:line="240" w:lineRule="exac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展览时间</w:t>
            </w:r>
          </w:p>
        </w:tc>
        <w:tc>
          <w:tcPr>
            <w:tcW w:w="4316" w:type="dxa"/>
            <w:gridSpan w:val="2"/>
            <w:shd w:val="clear" w:color="auto" w:fill="FFFFFF"/>
            <w:noWrap w:val="0"/>
            <w:vAlign w:val="center"/>
          </w:tcPr>
          <w:p>
            <w:pPr>
              <w:spacing w:line="240" w:lineRule="exact"/>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rPr>
              <w:t>201</w:t>
            </w:r>
            <w:r>
              <w:rPr>
                <w:rFonts w:hint="eastAsia" w:ascii="华文细黑" w:hAnsi="华文细黑" w:eastAsia="华文细黑" w:cs="华文细黑"/>
                <w:sz w:val="24"/>
                <w:szCs w:val="24"/>
                <w:highlight w:val="none"/>
                <w:lang w:val="en-US" w:eastAsia="zh-CN"/>
              </w:rPr>
              <w:t>9</w:t>
            </w:r>
            <w:r>
              <w:rPr>
                <w:rFonts w:hint="eastAsia" w:ascii="华文细黑" w:hAnsi="华文细黑" w:eastAsia="华文细黑" w:cs="华文细黑"/>
                <w:sz w:val="24"/>
                <w:szCs w:val="24"/>
                <w:highlight w:val="none"/>
              </w:rPr>
              <w:t>年</w:t>
            </w:r>
            <w:r>
              <w:rPr>
                <w:rFonts w:hint="eastAsia" w:ascii="华文细黑" w:hAnsi="华文细黑" w:eastAsia="华文细黑" w:cs="华文细黑"/>
                <w:sz w:val="24"/>
                <w:szCs w:val="24"/>
                <w:highlight w:val="none"/>
                <w:lang w:val="en-US" w:eastAsia="zh-CN"/>
              </w:rPr>
              <w:t>11月22-24</w:t>
            </w:r>
            <w:r>
              <w:rPr>
                <w:rFonts w:hint="eastAsia" w:ascii="华文细黑" w:hAnsi="华文细黑" w:eastAsia="华文细黑" w:cs="华文细黑"/>
                <w:sz w:val="24"/>
                <w:szCs w:val="24"/>
                <w:highlight w:val="none"/>
              </w:rPr>
              <w:t xml:space="preserve">日 </w:t>
            </w:r>
            <w:r>
              <w:rPr>
                <w:rFonts w:hint="eastAsia" w:ascii="华文细黑" w:hAnsi="华文细黑" w:eastAsia="华文细黑" w:cs="华文细黑"/>
                <w:sz w:val="24"/>
                <w:szCs w:val="24"/>
                <w:highlight w:val="none"/>
                <w:lang w:val="en-US" w:eastAsia="zh-CN"/>
              </w:rPr>
              <w:t>9</w:t>
            </w:r>
            <w:r>
              <w:rPr>
                <w:rFonts w:hint="eastAsia" w:ascii="华文细黑" w:hAnsi="华文细黑" w:eastAsia="华文细黑" w:cs="华文细黑"/>
                <w:sz w:val="24"/>
                <w:szCs w:val="24"/>
                <w:highlight w:val="none"/>
              </w:rPr>
              <w:t>:</w:t>
            </w:r>
            <w:r>
              <w:rPr>
                <w:rFonts w:hint="eastAsia" w:ascii="华文细黑" w:hAnsi="华文细黑" w:eastAsia="华文细黑" w:cs="华文细黑"/>
                <w:sz w:val="24"/>
                <w:szCs w:val="24"/>
                <w:highlight w:val="none"/>
                <w:lang w:val="en-US" w:eastAsia="zh-CN"/>
              </w:rPr>
              <w:t>0</w:t>
            </w:r>
            <w:r>
              <w:rPr>
                <w:rFonts w:hint="eastAsia" w:ascii="华文细黑" w:hAnsi="华文细黑" w:eastAsia="华文细黑" w:cs="华文细黑"/>
                <w:sz w:val="24"/>
                <w:szCs w:val="24"/>
                <w:highlight w:val="none"/>
              </w:rPr>
              <w:t>0—</w:t>
            </w:r>
            <w:r>
              <w:rPr>
                <w:rFonts w:hint="eastAsia" w:ascii="华文细黑" w:hAnsi="华文细黑" w:eastAsia="华文细黑" w:cs="华文细黑"/>
                <w:sz w:val="24"/>
                <w:szCs w:val="24"/>
                <w:highlight w:val="none"/>
                <w:lang w:val="en-US" w:eastAsia="zh-CN"/>
              </w:rPr>
              <w:t>17</w:t>
            </w:r>
            <w:r>
              <w:rPr>
                <w:rFonts w:hint="eastAsia" w:ascii="华文细黑" w:hAnsi="华文细黑" w:eastAsia="华文细黑" w:cs="华文细黑"/>
                <w:sz w:val="24"/>
                <w:szCs w:val="24"/>
                <w:highlight w:val="none"/>
              </w:rPr>
              <w:t>:</w:t>
            </w:r>
            <w:r>
              <w:rPr>
                <w:rFonts w:hint="eastAsia" w:ascii="华文细黑" w:hAnsi="华文细黑" w:eastAsia="华文细黑" w:cs="华文细黑"/>
                <w:sz w:val="24"/>
                <w:szCs w:val="24"/>
                <w:highlight w:val="none"/>
                <w:lang w:val="en-US" w:eastAsia="zh-CN"/>
              </w:rPr>
              <w:t>0</w:t>
            </w:r>
            <w:r>
              <w:rPr>
                <w:rFonts w:hint="eastAsia" w:ascii="华文细黑" w:hAnsi="华文细黑" w:eastAsia="华文细黑" w:cs="华文细黑"/>
                <w:sz w:val="24"/>
                <w:szCs w:val="24"/>
                <w:highlight w:val="none"/>
              </w:rPr>
              <w:t>0</w:t>
            </w:r>
          </w:p>
        </w:tc>
        <w:tc>
          <w:tcPr>
            <w:tcW w:w="3816" w:type="dxa"/>
            <w:vMerge w:val="continue"/>
            <w:noWrap w:val="0"/>
            <w:vAlign w:val="center"/>
          </w:tcPr>
          <w:p>
            <w:pPr>
              <w:spacing w:line="240" w:lineRule="exact"/>
              <w:jc w:val="center"/>
              <w:rPr>
                <w:rFonts w:hint="eastAsia" w:ascii="华文细黑" w:hAnsi="华文细黑" w:eastAsia="华文细黑" w:cs="华文细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3" w:hRule="atLeast"/>
          <w:jc w:val="center"/>
        </w:trPr>
        <w:tc>
          <w:tcPr>
            <w:tcW w:w="1668" w:type="dxa"/>
            <w:shd w:val="clear" w:color="auto" w:fill="FFFFFF"/>
            <w:noWrap w:val="0"/>
            <w:vAlign w:val="center"/>
          </w:tcPr>
          <w:p>
            <w:pPr>
              <w:spacing w:line="240" w:lineRule="exac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撤展时间</w:t>
            </w:r>
          </w:p>
        </w:tc>
        <w:tc>
          <w:tcPr>
            <w:tcW w:w="4316" w:type="dxa"/>
            <w:gridSpan w:val="2"/>
            <w:shd w:val="clear" w:color="auto" w:fill="FFFFFF"/>
            <w:noWrap w:val="0"/>
            <w:vAlign w:val="center"/>
          </w:tcPr>
          <w:p>
            <w:pPr>
              <w:spacing w:line="240" w:lineRule="exact"/>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rPr>
              <w:t>201</w:t>
            </w:r>
            <w:r>
              <w:rPr>
                <w:rFonts w:hint="eastAsia" w:ascii="华文细黑" w:hAnsi="华文细黑" w:eastAsia="华文细黑" w:cs="华文细黑"/>
                <w:sz w:val="24"/>
                <w:szCs w:val="24"/>
                <w:highlight w:val="none"/>
                <w:lang w:val="en-US" w:eastAsia="zh-CN"/>
              </w:rPr>
              <w:t>9</w:t>
            </w:r>
            <w:r>
              <w:rPr>
                <w:rFonts w:hint="eastAsia" w:ascii="华文细黑" w:hAnsi="华文细黑" w:eastAsia="华文细黑" w:cs="华文细黑"/>
                <w:sz w:val="24"/>
                <w:szCs w:val="24"/>
                <w:highlight w:val="none"/>
              </w:rPr>
              <w:t>年1</w:t>
            </w:r>
            <w:r>
              <w:rPr>
                <w:rFonts w:hint="eastAsia" w:ascii="华文细黑" w:hAnsi="华文细黑" w:eastAsia="华文细黑" w:cs="华文细黑"/>
                <w:sz w:val="24"/>
                <w:szCs w:val="24"/>
                <w:highlight w:val="none"/>
                <w:lang w:val="en-US" w:eastAsia="zh-CN"/>
              </w:rPr>
              <w:t>1</w:t>
            </w:r>
            <w:r>
              <w:rPr>
                <w:rFonts w:hint="eastAsia" w:ascii="华文细黑" w:hAnsi="华文细黑" w:eastAsia="华文细黑" w:cs="华文细黑"/>
                <w:sz w:val="24"/>
                <w:szCs w:val="24"/>
                <w:highlight w:val="none"/>
              </w:rPr>
              <w:t>月</w:t>
            </w:r>
            <w:r>
              <w:rPr>
                <w:rFonts w:hint="eastAsia" w:ascii="华文细黑" w:hAnsi="华文细黑" w:eastAsia="华文细黑" w:cs="华文细黑"/>
                <w:sz w:val="24"/>
                <w:szCs w:val="24"/>
                <w:highlight w:val="none"/>
                <w:lang w:val="en-US" w:eastAsia="zh-CN"/>
              </w:rPr>
              <w:t>24</w:t>
            </w:r>
            <w:r>
              <w:rPr>
                <w:rFonts w:hint="eastAsia" w:ascii="华文细黑" w:hAnsi="华文细黑" w:eastAsia="华文细黑" w:cs="华文细黑"/>
                <w:sz w:val="24"/>
                <w:szCs w:val="24"/>
                <w:highlight w:val="none"/>
              </w:rPr>
              <w:t>日</w:t>
            </w:r>
            <w:r>
              <w:rPr>
                <w:rFonts w:hint="eastAsia" w:ascii="华文细黑" w:hAnsi="华文细黑" w:eastAsia="华文细黑" w:cs="华文细黑"/>
                <w:sz w:val="24"/>
                <w:szCs w:val="24"/>
                <w:highlight w:val="none"/>
                <w:lang w:val="en-US" w:eastAsia="zh-CN"/>
              </w:rPr>
              <w:t>16</w:t>
            </w:r>
            <w:r>
              <w:rPr>
                <w:rFonts w:hint="eastAsia" w:ascii="华文细黑" w:hAnsi="华文细黑" w:eastAsia="华文细黑" w:cs="华文细黑"/>
                <w:sz w:val="24"/>
                <w:szCs w:val="24"/>
                <w:highlight w:val="none"/>
              </w:rPr>
              <w:t>:00—</w:t>
            </w:r>
            <w:r>
              <w:rPr>
                <w:rFonts w:hint="eastAsia" w:ascii="华文细黑" w:hAnsi="华文细黑" w:eastAsia="华文细黑" w:cs="华文细黑"/>
                <w:sz w:val="24"/>
                <w:szCs w:val="24"/>
                <w:highlight w:val="none"/>
                <w:lang w:val="en-US" w:eastAsia="zh-CN"/>
              </w:rPr>
              <w:t>撤完</w:t>
            </w:r>
          </w:p>
        </w:tc>
        <w:tc>
          <w:tcPr>
            <w:tcW w:w="3816" w:type="dxa"/>
            <w:vMerge w:val="continue"/>
            <w:noWrap w:val="0"/>
            <w:vAlign w:val="center"/>
          </w:tcPr>
          <w:p>
            <w:pPr>
              <w:spacing w:line="240" w:lineRule="exact"/>
              <w:jc w:val="center"/>
              <w:rPr>
                <w:rFonts w:hint="eastAsia" w:ascii="华文细黑" w:hAnsi="华文细黑" w:eastAsia="华文细黑" w:cs="华文细黑"/>
                <w:sz w:val="18"/>
                <w:szCs w:val="18"/>
              </w:rPr>
            </w:pPr>
          </w:p>
        </w:tc>
      </w:tr>
    </w:tbl>
    <w:p>
      <w:pPr>
        <w:autoSpaceDE w:val="0"/>
        <w:autoSpaceDN w:val="0"/>
        <w:adjustRightInd w:val="0"/>
        <w:spacing w:line="240" w:lineRule="auto"/>
        <w:jc w:val="left"/>
        <w:rPr>
          <w:rFonts w:hint="eastAsia" w:ascii="华文细黑" w:hAnsi="华文细黑" w:eastAsia="华文细黑" w:cs="华文细黑"/>
          <w:b/>
          <w:kern w:val="0"/>
          <w:sz w:val="28"/>
          <w:szCs w:val="28"/>
        </w:rPr>
      </w:pPr>
      <w:bookmarkStart w:id="32" w:name="_Toc4786_WPSOffice_Level2"/>
      <w:r>
        <w:rPr>
          <w:rFonts w:hint="eastAsia" w:ascii="华文细黑" w:hAnsi="华文细黑" w:eastAsia="华文细黑" w:cs="华文细黑"/>
          <w:b/>
          <w:kern w:val="0"/>
          <w:sz w:val="28"/>
          <w:szCs w:val="28"/>
        </w:rPr>
        <w:t>3</w:t>
      </w:r>
      <w:r>
        <w:rPr>
          <w:rFonts w:hint="eastAsia" w:ascii="华文细黑" w:hAnsi="华文细黑" w:eastAsia="华文细黑" w:cs="华文细黑"/>
          <w:b/>
          <w:kern w:val="0"/>
          <w:sz w:val="28"/>
          <w:szCs w:val="28"/>
          <w:lang w:val="en-US" w:eastAsia="zh-CN"/>
        </w:rPr>
        <w:t>.</w:t>
      </w:r>
      <w:r>
        <w:rPr>
          <w:rFonts w:hint="eastAsia" w:ascii="华文细黑" w:hAnsi="华文细黑" w:eastAsia="华文细黑" w:cs="华文细黑"/>
          <w:b/>
          <w:kern w:val="0"/>
          <w:sz w:val="28"/>
          <w:szCs w:val="28"/>
        </w:rPr>
        <w:t>大会相关服务机构</w:t>
      </w:r>
      <w:bookmarkEnd w:id="32"/>
    </w:p>
    <w:p>
      <w:pPr>
        <w:pStyle w:val="46"/>
        <w:spacing w:line="240" w:lineRule="auto"/>
        <w:ind w:left="0" w:leftChars="0" w:firstLine="0" w:firstLineChars="0"/>
        <w:jc w:val="left"/>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1)  组织机构：</w:t>
      </w:r>
      <w:r>
        <w:rPr>
          <w:rFonts w:hint="eastAsia" w:ascii="华文细黑" w:hAnsi="华文细黑" w:eastAsia="华文细黑" w:cs="华文细黑"/>
          <w:color w:val="0000FF"/>
          <w:sz w:val="24"/>
          <w:szCs w:val="24"/>
          <w:lang w:val="en-US" w:eastAsia="zh-CN"/>
        </w:rPr>
        <w:t>福建省地坪行业协会</w:t>
      </w:r>
    </w:p>
    <w:p>
      <w:pPr>
        <w:pStyle w:val="46"/>
        <w:spacing w:line="240" w:lineRule="auto"/>
        <w:ind w:left="0" w:leftChars="0" w:firstLine="1680" w:firstLineChars="700"/>
        <w:jc w:val="left"/>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北京华众信展国际会议有限公司</w:t>
      </w:r>
    </w:p>
    <w:p>
      <w:pPr>
        <w:pStyle w:val="46"/>
        <w:spacing w:line="240" w:lineRule="auto"/>
        <w:ind w:firstLine="1680" w:firstLineChars="700"/>
        <w:jc w:val="left"/>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天津华众会展有限公司</w:t>
      </w:r>
    </w:p>
    <w:p>
      <w:pPr>
        <w:pStyle w:val="46"/>
        <w:spacing w:line="240" w:lineRule="auto"/>
        <w:jc w:val="left"/>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指导单位：福建住房和城乡建设厅</w:t>
      </w:r>
    </w:p>
    <w:p>
      <w:pPr>
        <w:pStyle w:val="46"/>
        <w:spacing w:line="240" w:lineRule="auto"/>
        <w:ind w:firstLine="1680" w:firstLineChars="700"/>
        <w:jc w:val="left"/>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厦门市建设局</w:t>
      </w:r>
    </w:p>
    <w:p>
      <w:pPr>
        <w:pStyle w:val="46"/>
        <w:spacing w:line="240" w:lineRule="auto"/>
        <w:ind w:firstLine="480" w:firstLineChars="0"/>
        <w:jc w:val="left"/>
        <w:rPr>
          <w:rFonts w:hint="eastAsia" w:ascii="华文细黑" w:hAnsi="华文细黑" w:eastAsia="华文细黑" w:cs="华文细黑"/>
          <w:color w:val="FF0000"/>
          <w:sz w:val="24"/>
          <w:szCs w:val="24"/>
          <w:lang w:val="en-US" w:eastAsia="zh-CN"/>
        </w:rPr>
      </w:pPr>
      <w:r>
        <w:rPr>
          <w:rFonts w:hint="eastAsia" w:ascii="华文细黑" w:hAnsi="华文细黑" w:eastAsia="华文细黑" w:cs="华文细黑"/>
          <w:color w:val="FF0000"/>
          <w:sz w:val="24"/>
          <w:szCs w:val="24"/>
          <w:lang w:val="en-US" w:eastAsia="zh-CN"/>
        </w:rPr>
        <w:t>地    址：福建省福州市三盛江滨国际2号楼20层2017室</w:t>
      </w:r>
    </w:p>
    <w:p>
      <w:pPr>
        <w:pStyle w:val="46"/>
        <w:spacing w:line="240" w:lineRule="auto"/>
        <w:ind w:firstLine="1680" w:firstLineChars="700"/>
        <w:jc w:val="left"/>
        <w:rPr>
          <w:rFonts w:hint="default" w:ascii="华文细黑" w:hAnsi="华文细黑" w:eastAsia="华文细黑" w:cs="华文细黑"/>
          <w:color w:val="FF0000"/>
          <w:sz w:val="24"/>
          <w:szCs w:val="24"/>
          <w:lang w:val="en-US" w:eastAsia="zh-CN"/>
        </w:rPr>
      </w:pPr>
      <w:r>
        <w:rPr>
          <w:rFonts w:hint="eastAsia" w:ascii="华文细黑" w:hAnsi="华文细黑" w:eastAsia="华文细黑" w:cs="华文细黑"/>
          <w:color w:val="FF0000"/>
          <w:sz w:val="24"/>
          <w:szCs w:val="24"/>
          <w:lang w:val="en-US" w:eastAsia="zh-CN"/>
        </w:rPr>
        <w:t>福建省厦门市湖里区安岭二路红豆杉科技大厦9F-A</w:t>
      </w:r>
    </w:p>
    <w:p>
      <w:pPr>
        <w:pStyle w:val="46"/>
        <w:spacing w:line="240" w:lineRule="auto"/>
        <w:ind w:firstLine="480" w:firstLineChars="0"/>
        <w:jc w:val="left"/>
        <w:rPr>
          <w:rFonts w:hint="default" w:ascii="华文细黑" w:hAnsi="华文细黑" w:eastAsia="华文细黑" w:cs="华文细黑"/>
          <w:sz w:val="24"/>
          <w:szCs w:val="24"/>
          <w:highlight w:val="yellow"/>
          <w:lang w:val="en-US" w:eastAsia="zh-CN"/>
        </w:rPr>
      </w:pPr>
      <w:r>
        <w:rPr>
          <w:rFonts w:hint="eastAsia" w:ascii="华文细黑" w:hAnsi="华文细黑" w:eastAsia="华文细黑" w:cs="华文细黑"/>
          <w:sz w:val="24"/>
          <w:szCs w:val="24"/>
          <w:lang w:val="en-US" w:eastAsia="zh-CN"/>
        </w:rPr>
        <w:t>官    网：http://</w:t>
      </w:r>
      <w:r>
        <w:rPr>
          <w:rFonts w:hint="eastAsia" w:ascii="华文细黑" w:hAnsi="华文细黑" w:eastAsia="华文细黑" w:cs="华文细黑"/>
          <w:color w:val="auto"/>
          <w:kern w:val="0"/>
          <w:sz w:val="24"/>
          <w:szCs w:val="24"/>
          <w:highlight w:val="none"/>
          <w:u w:val="none"/>
          <w:lang w:val="en-US" w:eastAsia="zh-CN"/>
        </w:rPr>
        <w:t>www.fjfloor.org</w:t>
      </w:r>
    </w:p>
    <w:p>
      <w:pPr>
        <w:pStyle w:val="46"/>
        <w:spacing w:line="240" w:lineRule="auto"/>
        <w:ind w:firstLine="0" w:firstLineChars="0"/>
        <w:jc w:val="left"/>
        <w:rPr>
          <w:rFonts w:hint="eastAsia" w:ascii="华文细黑" w:hAnsi="华文细黑" w:eastAsia="华文细黑" w:cs="华文细黑"/>
          <w:kern w:val="0"/>
          <w:sz w:val="24"/>
          <w:szCs w:val="24"/>
        </w:rPr>
      </w:pPr>
      <w:r>
        <w:rPr>
          <w:rFonts w:hint="eastAsia" w:ascii="华文细黑" w:hAnsi="华文细黑" w:eastAsia="华文细黑" w:cs="华文细黑"/>
          <w:sz w:val="24"/>
          <w:szCs w:val="24"/>
        </w:rPr>
        <w:t>2) 主场服务商：</w:t>
      </w:r>
      <w:r>
        <w:rPr>
          <w:rFonts w:hint="eastAsia" w:ascii="华文细黑" w:hAnsi="华文细黑" w:eastAsia="华文细黑" w:cs="华文细黑"/>
          <w:bCs/>
          <w:sz w:val="24"/>
          <w:szCs w:val="24"/>
        </w:rPr>
        <w:t>福建会展壹号公关策划服务有限公司</w:t>
      </w:r>
    </w:p>
    <w:p>
      <w:pPr>
        <w:pStyle w:val="46"/>
        <w:spacing w:line="240" w:lineRule="auto"/>
        <w:ind w:firstLine="0" w:firstLineChars="0"/>
        <w:jc w:val="left"/>
        <w:rPr>
          <w:rFonts w:hint="eastAsia" w:ascii="华文细黑" w:hAnsi="华文细黑" w:eastAsia="华文细黑" w:cs="华文细黑"/>
          <w:kern w:val="0"/>
          <w:sz w:val="24"/>
          <w:szCs w:val="24"/>
        </w:rPr>
      </w:pPr>
      <w:r>
        <w:rPr>
          <w:rFonts w:hint="eastAsia" w:ascii="华文细黑" w:hAnsi="华文细黑" w:eastAsia="华文细黑" w:cs="华文细黑"/>
          <w:kern w:val="0"/>
          <w:sz w:val="24"/>
          <w:szCs w:val="24"/>
        </w:rPr>
        <w:t xml:space="preserve">   地      址：福建省厦门市思明区会展路198号A6馆408室</w:t>
      </w:r>
    </w:p>
    <w:p>
      <w:pPr>
        <w:pStyle w:val="46"/>
        <w:spacing w:line="240" w:lineRule="auto"/>
        <w:ind w:firstLine="0" w:firstLineChars="0"/>
        <w:jc w:val="left"/>
        <w:rPr>
          <w:rFonts w:hint="eastAsia" w:ascii="华文细黑" w:hAnsi="华文细黑" w:eastAsia="华文细黑" w:cs="华文细黑"/>
          <w:kern w:val="0"/>
          <w:sz w:val="24"/>
          <w:szCs w:val="24"/>
        </w:rPr>
      </w:pPr>
      <w:r>
        <w:rPr>
          <w:rFonts w:hint="eastAsia" w:ascii="华文细黑" w:hAnsi="华文细黑" w:eastAsia="华文细黑" w:cs="华文细黑"/>
          <w:kern w:val="0"/>
          <w:sz w:val="24"/>
          <w:szCs w:val="24"/>
        </w:rPr>
        <w:t xml:space="preserve">   电      话：（0592）5959786     传真：（0592）5959793</w:t>
      </w:r>
    </w:p>
    <w:p>
      <w:pPr>
        <w:pStyle w:val="46"/>
        <w:spacing w:line="240" w:lineRule="auto"/>
        <w:ind w:firstLine="0" w:firstLineChars="0"/>
        <w:jc w:val="left"/>
        <w:rPr>
          <w:rFonts w:hint="eastAsia" w:ascii="华文细黑" w:hAnsi="华文细黑" w:eastAsia="华文细黑" w:cs="华文细黑"/>
          <w:kern w:val="0"/>
          <w:sz w:val="24"/>
          <w:szCs w:val="24"/>
        </w:rPr>
      </w:pPr>
      <w:r>
        <w:rPr>
          <w:rFonts w:hint="eastAsia" w:ascii="华文细黑" w:hAnsi="华文细黑" w:eastAsia="华文细黑" w:cs="华文细黑"/>
          <w:kern w:val="0"/>
          <w:sz w:val="24"/>
          <w:szCs w:val="24"/>
        </w:rPr>
        <w:t xml:space="preserve"> </w:t>
      </w:r>
    </w:p>
    <w:p>
      <w:pPr>
        <w:numPr>
          <w:ilvl w:val="0"/>
          <w:numId w:val="0"/>
        </w:numPr>
        <w:autoSpaceDE w:val="0"/>
        <w:autoSpaceDN w:val="0"/>
        <w:adjustRightInd w:val="0"/>
        <w:spacing w:line="240" w:lineRule="auto"/>
        <w:ind w:leftChars="0"/>
        <w:jc w:val="left"/>
        <w:rPr>
          <w:rFonts w:hint="eastAsia" w:ascii="华文细黑" w:hAnsi="华文细黑" w:eastAsia="华文细黑" w:cs="华文细黑"/>
          <w:b/>
          <w:kern w:val="0"/>
          <w:sz w:val="28"/>
          <w:szCs w:val="28"/>
        </w:rPr>
      </w:pPr>
      <w:bookmarkStart w:id="33" w:name="_Toc18048_WPSOffice_Level2"/>
      <w:r>
        <w:rPr>
          <w:rFonts w:hint="eastAsia" w:ascii="华文细黑" w:hAnsi="华文细黑" w:eastAsia="华文细黑" w:cs="华文细黑"/>
          <w:b/>
          <w:kern w:val="0"/>
          <w:sz w:val="28"/>
          <w:szCs w:val="28"/>
          <w:lang w:val="en-US" w:eastAsia="zh-CN"/>
        </w:rPr>
        <w:t>4.</w:t>
      </w:r>
      <w:r>
        <w:rPr>
          <w:rFonts w:hint="eastAsia" w:ascii="华文细黑" w:hAnsi="华文细黑" w:eastAsia="华文细黑" w:cs="华文细黑"/>
          <w:b/>
          <w:kern w:val="0"/>
          <w:sz w:val="28"/>
          <w:szCs w:val="28"/>
        </w:rPr>
        <w:t>交通</w:t>
      </w:r>
      <w:r>
        <w:rPr>
          <w:rFonts w:hint="eastAsia" w:ascii="华文细黑" w:hAnsi="华文细黑" w:eastAsia="华文细黑" w:cs="华文细黑"/>
          <w:b/>
          <w:kern w:val="0"/>
          <w:sz w:val="28"/>
          <w:szCs w:val="28"/>
          <w:lang w:val="en-US" w:eastAsia="zh-CN"/>
        </w:rPr>
        <w:t>指南</w:t>
      </w:r>
      <w:bookmarkEnd w:id="33"/>
    </w:p>
    <w:p>
      <w:pPr>
        <w:rPr>
          <w:rFonts w:hint="eastAsia" w:ascii="华文细黑" w:hAnsi="华文细黑" w:eastAsia="华文细黑" w:cs="华文细黑"/>
          <w:b/>
          <w:sz w:val="24"/>
          <w:szCs w:val="24"/>
        </w:rPr>
      </w:pPr>
      <w:r>
        <w:rPr>
          <w:rFonts w:hint="eastAsia" w:ascii="华文细黑" w:hAnsi="华文细黑" w:eastAsia="华文细黑" w:cs="华文细黑"/>
          <w:b/>
          <w:sz w:val="24"/>
          <w:szCs w:val="24"/>
        </w:rPr>
        <w:t>展馆交通线路示意图：</w:t>
      </w:r>
    </w:p>
    <w:p>
      <w:pPr>
        <w:autoSpaceDE w:val="0"/>
        <w:autoSpaceDN w:val="0"/>
        <w:adjustRightInd w:val="0"/>
        <w:spacing w:line="240" w:lineRule="auto"/>
        <w:jc w:val="left"/>
        <w:rPr>
          <w:rFonts w:hint="eastAsia" w:ascii="华文细黑" w:hAnsi="华文细黑" w:eastAsia="华文细黑" w:cs="华文细黑"/>
          <w:b/>
          <w:szCs w:val="21"/>
        </w:rPr>
      </w:pPr>
      <w:r>
        <w:rPr>
          <w:rFonts w:hint="eastAsia" w:ascii="华文细黑" w:hAnsi="华文细黑" w:eastAsia="华文细黑" w:cs="华文细黑"/>
          <w:szCs w:val="21"/>
        </w:rPr>
        <mc:AlternateContent>
          <mc:Choice Requires="wps">
            <w:drawing>
              <wp:anchor distT="0" distB="0" distL="114300" distR="114300" simplePos="0" relativeHeight="251660288" behindDoc="0" locked="0" layoutInCell="1" allowOverlap="1">
                <wp:simplePos x="0" y="0"/>
                <wp:positionH relativeFrom="column">
                  <wp:posOffset>3651885</wp:posOffset>
                </wp:positionH>
                <wp:positionV relativeFrom="paragraph">
                  <wp:posOffset>3281045</wp:posOffset>
                </wp:positionV>
                <wp:extent cx="1104900" cy="647700"/>
                <wp:effectExtent l="0" t="0" r="0" b="0"/>
                <wp:wrapNone/>
                <wp:docPr id="21" name="文本框 103"/>
                <wp:cNvGraphicFramePr/>
                <a:graphic xmlns:a="http://schemas.openxmlformats.org/drawingml/2006/main">
                  <a:graphicData uri="http://schemas.microsoft.com/office/word/2010/wordprocessingShape">
                    <wps:wsp>
                      <wps:cNvSpPr txBox="1"/>
                      <wps:spPr>
                        <a:xfrm>
                          <a:off x="0" y="0"/>
                          <a:ext cx="1104900" cy="647700"/>
                        </a:xfrm>
                        <a:prstGeom prst="rect">
                          <a:avLst/>
                        </a:prstGeom>
                        <a:noFill/>
                        <a:ln w="9525">
                          <a:noFill/>
                        </a:ln>
                        <a:effectLst/>
                      </wps:spPr>
                      <wps:txbx>
                        <w:txbxContent>
                          <w:p>
                            <w:pPr>
                              <w:adjustRightInd w:val="0"/>
                              <w:snapToGrid w:val="0"/>
                              <w:spacing w:line="280" w:lineRule="exact"/>
                              <w:rPr>
                                <w:rFonts w:ascii="微软雅黑" w:hAnsi="微软雅黑" w:eastAsia="微软雅黑"/>
                                <w:sz w:val="24"/>
                                <w:szCs w:val="24"/>
                              </w:rPr>
                            </w:pPr>
                            <w:r>
                              <w:rPr>
                                <w:rFonts w:hint="eastAsia" w:ascii="微软雅黑" w:hAnsi="微软雅黑" w:eastAsia="微软雅黑"/>
                                <w:sz w:val="24"/>
                                <w:szCs w:val="24"/>
                              </w:rPr>
                              <w:t>厦门国际</w:t>
                            </w:r>
                          </w:p>
                          <w:p>
                            <w:pPr>
                              <w:adjustRightInd w:val="0"/>
                              <w:snapToGrid w:val="0"/>
                              <w:spacing w:line="280" w:lineRule="exact"/>
                              <w:rPr>
                                <w:rFonts w:ascii="微软雅黑" w:hAnsi="微软雅黑" w:eastAsia="微软雅黑"/>
                                <w:sz w:val="24"/>
                                <w:szCs w:val="24"/>
                              </w:rPr>
                            </w:pPr>
                            <w:r>
                              <w:rPr>
                                <w:rFonts w:hint="eastAsia" w:ascii="微软雅黑" w:hAnsi="微软雅黑" w:eastAsia="微软雅黑"/>
                                <w:sz w:val="24"/>
                                <w:szCs w:val="24"/>
                              </w:rPr>
                              <w:t>会展中心</w:t>
                            </w:r>
                          </w:p>
                        </w:txbxContent>
                      </wps:txbx>
                      <wps:bodyPr wrap="square" upright="1"/>
                    </wps:wsp>
                  </a:graphicData>
                </a:graphic>
              </wp:anchor>
            </w:drawing>
          </mc:Choice>
          <mc:Fallback>
            <w:pict>
              <v:shape id="文本框 103" o:spid="_x0000_s1026" o:spt="202" type="#_x0000_t202" style="position:absolute;left:0pt;margin-left:287.55pt;margin-top:258.35pt;height:51pt;width:87pt;z-index:251660288;mso-width-relative:page;mso-height-relative:page;" filled="f" stroked="f" coordsize="21600,21600" o:gfxdata="UEsDBAoAAAAAAIdO4kAAAAAAAAAAAAAAAAAEAAAAZHJzL1BLAwQUAAAACACHTuJAlrgGgdcAAAAL&#10;AQAADwAAAGRycy9kb3ducmV2LnhtbE2Py07DMBBF90j8gzVI7Kht1CRtiNMFiC2I8pDYufE0iYjH&#10;Uew24e8ZVrCbx9GdM9Vu8YM44xT7QAb0SoFAaoLrqTXw9vp4swERkyVnh0Bo4Bsj7OrLi8qWLsz0&#10;gud9agWHUCytgS6lsZQyNh16G1dhROLdMUzeJm6nVrrJzhzuB3mrVC697YkvdHbE+w6br/3JG3h/&#10;On5+rNVz++CzcQ6LkuS30pjrK63uQCRc0h8Mv/qsDjU7HcKJXBSDgazINKNc6LwAwUSx3vLkYCDX&#10;mwJkXcn/P9Q/UEsDBBQAAAAIAIdO4kAKugFiqQEAACgDAAAOAAAAZHJzL2Uyb0RvYy54bWytUkuO&#10;EzEQ3SPNHSzvibvDfJhWnJFGo2GDAGngAI7bTlvyb1xOunMBuAErNuw5V85B2cmEEezQbOxyfZ7r&#10;varFzeQs2aoEJnhO21lDifIy9MavOf3y+f71W0ogC98LG7zidKeA3izPXi3G2Kl5GILtVSII4qEb&#10;I6dDzrFjDOSgnIBZiMpjUIfkRMZnWrM+iRHRnWXzprlkY0h9TEEqAPTeHYJ0WfG1VjJ/1BpUJpZT&#10;7C3XM9VzVU62XIhunUQcjDy2If6jCyeMx09PUHciC7JJ5h8oZ2QKEHSeyeBY0NpIVTkgm7b5i83D&#10;IKKqXFAciCeZ4OVg5Yftp0RMz+m8pcQLhzPaf/+2//Fr//MraZs3RaExQoeJDxFT83QbJpz0kx/Q&#10;WYhPOrlyIyWCcdR6d9JXTZnIUtQ259cNhiTGLs+vrtBGePanOibI71RwpBicJpxflVVs30M+pD6l&#10;lM98uDfW1hlaT0ZOry/mF7XgFEFw60uuqttwhCmMDp0XK0+r6UhzFfodshxxIziFx41IipJNTGY9&#10;YD+VNSslOI7a+HF1yryfv9F+vuD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a4BoHXAAAACwEA&#10;AA8AAAAAAAAAAQAgAAAAIgAAAGRycy9kb3ducmV2LnhtbFBLAQIUABQAAAAIAIdO4kAKugFiqQEA&#10;ACgDAAAOAAAAAAAAAAEAIAAAACYBAABkcnMvZTJvRG9jLnhtbFBLBQYAAAAABgAGAFkBAABBBQAA&#10;AAA=&#10;">
                <v:fill on="f" focussize="0,0"/>
                <v:stroke on="f"/>
                <v:imagedata o:title=""/>
                <o:lock v:ext="edit" aspectratio="f"/>
                <v:textbox>
                  <w:txbxContent>
                    <w:p>
                      <w:pPr>
                        <w:adjustRightInd w:val="0"/>
                        <w:snapToGrid w:val="0"/>
                        <w:spacing w:line="280" w:lineRule="exact"/>
                        <w:rPr>
                          <w:rFonts w:ascii="微软雅黑" w:hAnsi="微软雅黑" w:eastAsia="微软雅黑"/>
                          <w:sz w:val="24"/>
                          <w:szCs w:val="24"/>
                        </w:rPr>
                      </w:pPr>
                      <w:r>
                        <w:rPr>
                          <w:rFonts w:hint="eastAsia" w:ascii="微软雅黑" w:hAnsi="微软雅黑" w:eastAsia="微软雅黑"/>
                          <w:sz w:val="24"/>
                          <w:szCs w:val="24"/>
                        </w:rPr>
                        <w:t>厦门国际</w:t>
                      </w:r>
                    </w:p>
                    <w:p>
                      <w:pPr>
                        <w:adjustRightInd w:val="0"/>
                        <w:snapToGrid w:val="0"/>
                        <w:spacing w:line="280" w:lineRule="exact"/>
                        <w:rPr>
                          <w:rFonts w:ascii="微软雅黑" w:hAnsi="微软雅黑" w:eastAsia="微软雅黑"/>
                          <w:sz w:val="24"/>
                          <w:szCs w:val="24"/>
                        </w:rPr>
                      </w:pPr>
                      <w:r>
                        <w:rPr>
                          <w:rFonts w:hint="eastAsia" w:ascii="微软雅黑" w:hAnsi="微软雅黑" w:eastAsia="微软雅黑"/>
                          <w:sz w:val="24"/>
                          <w:szCs w:val="24"/>
                        </w:rPr>
                        <w:t>会展中心</w:t>
                      </w:r>
                    </w:p>
                  </w:txbxContent>
                </v:textbox>
              </v:shape>
            </w:pict>
          </mc:Fallback>
        </mc:AlternateContent>
      </w:r>
      <w:r>
        <w:rPr>
          <w:rFonts w:hint="eastAsia" w:ascii="华文细黑" w:hAnsi="华文细黑" w:eastAsia="华文细黑" w:cs="华文细黑"/>
          <w:szCs w:val="21"/>
        </w:rPr>
        <mc:AlternateContent>
          <mc:Choice Requires="wps">
            <w:drawing>
              <wp:anchor distT="0" distB="0" distL="114300" distR="114300" simplePos="0" relativeHeight="251659264" behindDoc="0" locked="0" layoutInCell="1" allowOverlap="1">
                <wp:simplePos x="0" y="0"/>
                <wp:positionH relativeFrom="column">
                  <wp:posOffset>3537585</wp:posOffset>
                </wp:positionH>
                <wp:positionV relativeFrom="paragraph">
                  <wp:posOffset>3176270</wp:posOffset>
                </wp:positionV>
                <wp:extent cx="1066800" cy="942975"/>
                <wp:effectExtent l="0" t="0" r="0" b="9525"/>
                <wp:wrapNone/>
                <wp:docPr id="20" name="自选图形 102"/>
                <wp:cNvGraphicFramePr/>
                <a:graphic xmlns:a="http://schemas.openxmlformats.org/drawingml/2006/main">
                  <a:graphicData uri="http://schemas.microsoft.com/office/word/2010/wordprocessingShape">
                    <wps:wsp>
                      <wps:cNvSpPr/>
                      <wps:spPr>
                        <a:xfrm>
                          <a:off x="0" y="0"/>
                          <a:ext cx="1066800" cy="942975"/>
                        </a:xfrm>
                        <a:prstGeom prst="downArrowCallout">
                          <a:avLst>
                            <a:gd name="adj1" fmla="val 28282"/>
                            <a:gd name="adj2" fmla="val 28282"/>
                            <a:gd name="adj3" fmla="val 16666"/>
                            <a:gd name="adj4" fmla="val 66667"/>
                          </a:avLst>
                        </a:prstGeom>
                        <a:solidFill>
                          <a:srgbClr val="FFC000"/>
                        </a:solidFill>
                        <a:ln w="28575">
                          <a:noFill/>
                        </a:ln>
                        <a:effectLst/>
                      </wps:spPr>
                      <wps:bodyPr wrap="square" upright="1"/>
                    </wps:wsp>
                  </a:graphicData>
                </a:graphic>
              </wp:anchor>
            </w:drawing>
          </mc:Choice>
          <mc:Fallback>
            <w:pict>
              <v:shape id="自选图形 102" o:spid="_x0000_s1026" o:spt="80" type="#_x0000_t80" style="position:absolute;left:0pt;margin-left:278.55pt;margin-top:250.1pt;height:74.25pt;width:84pt;z-index:251659264;mso-width-relative:page;mso-height-relative:page;" fillcolor="#FFC000" filled="t" stroked="f" coordsize="21600,21600" o:gfxdata="UEsDBAoAAAAAAIdO4kAAAAAAAAAAAAAAAAAEAAAAZHJzL1BLAwQUAAAACACHTuJA2N26tNoAAAAL&#10;AQAADwAAAGRycy9kb3ducmV2LnhtbE2Py07DMBBF90j8gzVI7KidiDRViFOpiHQHlIIqdeckxo6I&#10;x1HstOXvGVawm8fRnTPl+uIGdtJT6D1KSBYCmMbWdz0aCR/v9d0KWIgKOzV41BK+dYB1dX1VqqLz&#10;Z3zTp300jEIwFEqCjXEsOA+t1U6FhR810u7TT05FaifDu0mdKdwNPBViyZ3qkS5YNepHq9uv/ewk&#10;zPVz4prja/2yM+Zpk28PW7txUt7eJOIBWNSX+AfDrz6pQ0VOjZ+xC2yQkGV5QigVQqTAiMjTjCaN&#10;hOX9Kgdelfz/D9UPUEsDBBQAAAAIAIdO4kD1YUhx9QEAAOUDAAAOAAAAZHJzL2Uyb0RvYy54bWyt&#10;U0uOEzEQ3SNxB8t70h9mMpkonRHKKGwQjDRwAMd2p438o+ykkx07xBnYseQOcJuR4BaUnSYTmA1C&#10;dEtul/38XO9V9exqZzTZSgjK2YZWo5ISabkTyq4b+ub18smEkhCZFUw7Kxu6l4FezR8/mvV+KmvX&#10;OS0kECSxYdr7hnYx+mlRBN5Jw8LIeWlxs3VgWMQQ1oUA1iO70UVdluOidyA8OC5DwNXrwyadZ/62&#10;lTy+atsgI9ENxdxiHiGPqzQW8xmbroH5TvEhDfYPWRimLF56pLpmkZENqAdURnFwwbVxxJ0pXNsq&#10;LrMGVFOVf6i57ZiXWQuaE/zRpvD/aPnL7Q0QJRpaoz2WGazR9w9ffrz/ePfp293Xz6Qq62RS78MU&#10;sbf+BoYo4DQp3rVg0he1kF02dn80Vu4i4bhYlePxpMQLOO5dntWXF+eJtLg/7SHE59IZkiYNFa63&#10;zwBcv2Bau03M3rLtixCzyWLIlIm3FSWt0VizLdOknuA71PQEU/8F5ukpphrj85Dn7BSTIBeDiiEz&#10;1PNLR0ozOK3EUmmdA1ivFhoIptnQ5XJRoh0HC36DaUt6rMXkHB1Kx6xLBAegtmlF5q5GJ9JiKsuh&#10;EGm2cmKP1eyxnRsa3m0YSEo2HtS6Q0+rfF/CYS9l84e+T816Gmfe+79z/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3bq02gAAAAsBAAAPAAAAAAAAAAEAIAAAACIAAABkcnMvZG93bnJldi54bWxQ&#10;SwECFAAUAAAACACHTuJA9WFIcfUBAADlAwAADgAAAAAAAAABACAAAAApAQAAZHJzL2Uyb0RvYy54&#10;bWxQSwUGAAAAAAYABgBZAQAAkAUAAAAA&#10;" adj="14400,5400,18001,8100">
                <v:fill on="t" focussize="0,0"/>
                <v:stroke on="f" weight="2.25pt"/>
                <v:imagedata o:title=""/>
                <o:lock v:ext="edit" aspectratio="f"/>
              </v:shape>
            </w:pict>
          </mc:Fallback>
        </mc:AlternateContent>
      </w:r>
      <w:r>
        <w:rPr>
          <w:rFonts w:hint="eastAsia" w:ascii="华文细黑" w:hAnsi="华文细黑" w:eastAsia="华文细黑" w:cs="华文细黑"/>
          <w:b/>
          <w:sz w:val="28"/>
          <w:szCs w:val="28"/>
        </w:rPr>
        <mc:AlternateContent>
          <mc:Choice Requires="wps">
            <w:drawing>
              <wp:anchor distT="0" distB="0" distL="114300" distR="114300" simplePos="0" relativeHeight="251662336" behindDoc="0" locked="0" layoutInCell="1" allowOverlap="1">
                <wp:simplePos x="0" y="0"/>
                <wp:positionH relativeFrom="column">
                  <wp:posOffset>1640840</wp:posOffset>
                </wp:positionH>
                <wp:positionV relativeFrom="paragraph">
                  <wp:posOffset>4347845</wp:posOffset>
                </wp:positionV>
                <wp:extent cx="648970" cy="304800"/>
                <wp:effectExtent l="0" t="0" r="17780" b="0"/>
                <wp:wrapNone/>
                <wp:docPr id="23" name="文本框 106"/>
                <wp:cNvGraphicFramePr/>
                <a:graphic xmlns:a="http://schemas.openxmlformats.org/drawingml/2006/main">
                  <a:graphicData uri="http://schemas.microsoft.com/office/word/2010/wordprocessingShape">
                    <wps:wsp>
                      <wps:cNvSpPr txBox="1"/>
                      <wps:spPr>
                        <a:xfrm>
                          <a:off x="0" y="0"/>
                          <a:ext cx="648970" cy="304800"/>
                        </a:xfrm>
                        <a:prstGeom prst="rect">
                          <a:avLst/>
                        </a:prstGeom>
                        <a:solidFill>
                          <a:srgbClr val="FFC000"/>
                        </a:solidFill>
                        <a:ln w="19050">
                          <a:noFill/>
                        </a:ln>
                        <a:effectLst/>
                      </wps:spPr>
                      <wps:txbx>
                        <w:txbxContent>
                          <w:p>
                            <w:pPr>
                              <w:adjustRightInd w:val="0"/>
                              <w:snapToGrid w:val="0"/>
                              <w:rPr>
                                <w:rFonts w:ascii="微软雅黑" w:hAnsi="微软雅黑" w:eastAsia="微软雅黑"/>
                              </w:rPr>
                            </w:pPr>
                            <w:r>
                              <w:rPr>
                                <w:rFonts w:hint="eastAsia" w:ascii="微软雅黑" w:hAnsi="微软雅黑" w:eastAsia="微软雅黑"/>
                              </w:rPr>
                              <w:t>厦门站</w:t>
                            </w:r>
                          </w:p>
                        </w:txbxContent>
                      </wps:txbx>
                      <wps:bodyPr wrap="square" upright="1"/>
                    </wps:wsp>
                  </a:graphicData>
                </a:graphic>
              </wp:anchor>
            </w:drawing>
          </mc:Choice>
          <mc:Fallback>
            <w:pict>
              <v:shape id="文本框 106" o:spid="_x0000_s1026" o:spt="202" type="#_x0000_t202" style="position:absolute;left:0pt;margin-left:129.2pt;margin-top:342.35pt;height:24pt;width:51.1pt;z-index:251662336;mso-width-relative:page;mso-height-relative:page;" fillcolor="#FFC000" filled="t" stroked="f" coordsize="21600,21600" o:gfxdata="UEsDBAoAAAAAAIdO4kAAAAAAAAAAAAAAAAAEAAAAZHJzL1BLAwQUAAAACACHTuJA3Uy/ndsAAAAL&#10;AQAADwAAAGRycy9kb3ducmV2LnhtbE2PQU+DQBCF7yb+h82YeCF2KVQgyNCDSePBk1WbHrfsFEjZ&#10;WcJuS/vvXU96nLwv731Tra9mEBeaXG8ZYbmIQRA3VvfcInx9bp4KEM4r1mqwTAg3crCu7+8qVWo7&#10;8wddtr4VoYRdqRA678dSStd0ZJRb2JE4ZEc7GeXDObVST2oO5WaQSRxn0qiew0KnRnrtqDltzwbh&#10;OBeR2evduIs2t7fo9L2f03eL+PiwjF9AeLr6Pxh+9YM61MHpYM+snRgQkudiFVCErFjlIAKRZnEG&#10;4oCQp0kOsq7k/x/qH1BLAwQUAAAACACHTuJAI2+N58ABAABRAwAADgAAAGRycy9lMm9Eb2MueG1s&#10;rVPNbhMxEL4j8Q6W72SdtIR0lU0lWoULAqTCAzhee9eS/xg72c0LwBtw4sKd58pzdOykobQ3xMVr&#10;z4w/f983s8vr0RqykxC1dw2dThgl0gnfatc19Mvn9asFJTFx13LjnWzoXkZ6vXr5YjmEWs58700r&#10;gSCIi/UQGtqnFOqqiqKXlseJD9JhUnmwPOERuqoFPiC6NdWMsXk1eGgDeCFjxOjtMUlXBV8pKdJH&#10;paJMxDQUuaWyQlk3ea1WS153wEOvxYkG/wcWlmuHj56hbnniZAv6GZTVAnz0Kk2Et5VXSgtZNKCa&#10;KXui5q7nQRYtaE4MZ5vi/4MVH3afgOi2obMLShy32KPDj++Hn78Pv76RKZtnh4YQayy8C1iaxrd+&#10;xE4/xCMGs/BRgc1flEQwj17vz/7KMRGBwfnl4uoNZgSmLtjlghX/qz+XA8T0TnpL8qahgO0rrvLd&#10;+5iQCJY+lOS3oje6XWtjygG6zY0BsuPY6vX6hp3R/yozjgxI/4q9ZgXa+QxwxDYuA8kyNqcHs/Sj&#10;xLxL42Y8+bHx7R7tGHB0Ghq/bjlISrYBdNcj82JPla9g3wrv04zlwXh8xv3jP2F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1Mv53bAAAACwEAAA8AAAAAAAAAAQAgAAAAIgAAAGRycy9kb3ducmV2&#10;LnhtbFBLAQIUABQAAAAIAIdO4kAjb43nwAEAAFEDAAAOAAAAAAAAAAEAIAAAACoBAABkcnMvZTJv&#10;RG9jLnhtbFBLBQYAAAAABgAGAFkBAABcBQAAAAA=&#10;">
                <v:fill on="t" focussize="0,0"/>
                <v:stroke on="f" weight="1.5pt"/>
                <v:imagedata o:title=""/>
                <o:lock v:ext="edit" aspectratio="f"/>
                <v:textbox>
                  <w:txbxContent>
                    <w:p>
                      <w:pPr>
                        <w:adjustRightInd w:val="0"/>
                        <w:snapToGrid w:val="0"/>
                        <w:rPr>
                          <w:rFonts w:ascii="微软雅黑" w:hAnsi="微软雅黑" w:eastAsia="微软雅黑"/>
                        </w:rPr>
                      </w:pPr>
                      <w:r>
                        <w:rPr>
                          <w:rFonts w:hint="eastAsia" w:ascii="微软雅黑" w:hAnsi="微软雅黑" w:eastAsia="微软雅黑"/>
                        </w:rPr>
                        <w:t>厦门站</w:t>
                      </w:r>
                    </w:p>
                  </w:txbxContent>
                </v:textbox>
              </v:shape>
            </w:pict>
          </mc:Fallback>
        </mc:AlternateContent>
      </w:r>
      <w:r>
        <w:rPr>
          <w:rFonts w:hint="eastAsia" w:ascii="华文细黑" w:hAnsi="华文细黑" w:eastAsia="华文细黑" w:cs="华文细黑"/>
          <w:b/>
          <w:sz w:val="28"/>
          <w:szCs w:val="28"/>
        </w:rPr>
        <mc:AlternateContent>
          <mc:Choice Requires="wps">
            <w:drawing>
              <wp:anchor distT="0" distB="0" distL="114300" distR="114300" simplePos="0" relativeHeight="251663360" behindDoc="0" locked="0" layoutInCell="1" allowOverlap="1">
                <wp:simplePos x="0" y="0"/>
                <wp:positionH relativeFrom="column">
                  <wp:posOffset>2613660</wp:posOffset>
                </wp:positionH>
                <wp:positionV relativeFrom="paragraph">
                  <wp:posOffset>2347595</wp:posOffset>
                </wp:positionV>
                <wp:extent cx="742950" cy="304800"/>
                <wp:effectExtent l="0" t="0" r="0" b="0"/>
                <wp:wrapNone/>
                <wp:docPr id="24" name="文本框 107"/>
                <wp:cNvGraphicFramePr/>
                <a:graphic xmlns:a="http://schemas.openxmlformats.org/drawingml/2006/main">
                  <a:graphicData uri="http://schemas.microsoft.com/office/word/2010/wordprocessingShape">
                    <wps:wsp>
                      <wps:cNvSpPr txBox="1"/>
                      <wps:spPr>
                        <a:xfrm>
                          <a:off x="0" y="0"/>
                          <a:ext cx="742950" cy="304800"/>
                        </a:xfrm>
                        <a:prstGeom prst="rect">
                          <a:avLst/>
                        </a:prstGeom>
                        <a:solidFill>
                          <a:srgbClr val="FFC000"/>
                        </a:solidFill>
                        <a:ln w="19050">
                          <a:noFill/>
                        </a:ln>
                        <a:effectLst/>
                      </wps:spPr>
                      <wps:txbx>
                        <w:txbxContent>
                          <w:p>
                            <w:pPr>
                              <w:adjustRightInd w:val="0"/>
                              <w:snapToGrid w:val="0"/>
                              <w:rPr>
                                <w:rFonts w:ascii="微软雅黑" w:hAnsi="微软雅黑" w:eastAsia="微软雅黑"/>
                              </w:rPr>
                            </w:pPr>
                            <w:r>
                              <w:rPr>
                                <w:rFonts w:hint="eastAsia" w:ascii="微软雅黑" w:hAnsi="微软雅黑" w:eastAsia="微软雅黑"/>
                              </w:rPr>
                              <w:t>高崎机场</w:t>
                            </w:r>
                          </w:p>
                        </w:txbxContent>
                      </wps:txbx>
                      <wps:bodyPr wrap="square" upright="1"/>
                    </wps:wsp>
                  </a:graphicData>
                </a:graphic>
              </wp:anchor>
            </w:drawing>
          </mc:Choice>
          <mc:Fallback>
            <w:pict>
              <v:shape id="文本框 107" o:spid="_x0000_s1026" o:spt="202" type="#_x0000_t202" style="position:absolute;left:0pt;margin-left:205.8pt;margin-top:184.85pt;height:24pt;width:58.5pt;z-index:251663360;mso-width-relative:page;mso-height-relative:page;" fillcolor="#FFC000" filled="t" stroked="f" coordsize="21600,21600" o:gfxdata="UEsDBAoAAAAAAIdO4kAAAAAAAAAAAAAAAAAEAAAAZHJzL1BLAwQUAAAACACHTuJAcX6zYdoAAAAL&#10;AQAADwAAAGRycy9kb3ducmV2LnhtbE2PwU7DMAyG70i8Q2QkLhVLu0FbStMdkCYOnBgw7Zg1Xlut&#10;caomW7e3xzuxo/1/+v25XJ5tL044+s6RgmQWg0CqnemoUfDzvXrKQfigyejeESq4oIdldX9X6sK4&#10;ib7wtA6N4BLyhVbQhjAUUvq6Rav9zA1InO3daHXgcWykGfXE5baX8zhOpdUd8YVWD/jeYn1YH62C&#10;/ZRHdms2wyZaXT6iw+92Wnw6pR4fkvgNRMBz+Ifhqs/qULHTzh3JeNEreE6SlFEFi/Q1A8HEyzzn&#10;ze4aZRnIqpS3P1R/UEsDBBQAAAAIAIdO4kDvT6OjwAEAAFEDAAAOAAAAZHJzL2Uyb0RvYy54bWyt&#10;U0tu2zAQ3RfoHQjuY9KO2ySC5QBN4G6KtkCaA9AUJRHgr0Paki/Q3qCrbrrvuXyODmnH+XRXdEOR&#10;M8PH996MFtejNWSrIGrvajqdcEqUk77Rrqvp/ZfV2SUlMQnXCOOdqulORXq9fP1qMYRKzXzvTaOA&#10;IIiL1RBq2qcUKsai7JUVceKDcphsPViR8Agda0AMiG4Nm3H+lg0emgBeqhgxentI0mXBb1sl06e2&#10;jSoRU1PklsoKZV3nlS0XoupAhF7LIw3xDyys0A4fPUHdiiTIBvRfUFZL8NG3aSK9Zb5ttVRFA6qZ&#10;8hdq7noRVNGC5sRwsin+P1j5cfsZiG5qOptT4oTFHu1/fN///L3/9Y1M+UV2aAixwsK7gKVpfOdH&#10;7PRDPGIwCx9bsPmLkgjm0evdyV81JiIxeDGfXb3BjMTUOZ9f8uI/e7wcIKb3yluSNzUFbF9xVWw/&#10;xIREsPShJL8VvdHNShtTDtCtbwyQrcBWr1Y3/IT+rMw4MiD9K45E8jXnM8AB27gcUWVsjg9m6QeJ&#10;eZfG9Xj0Y+2bHdox4OjUNH7dCFCUbALorkfmxR6Wr2DfCu/jjOXBeHrG/dM/Y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X6zYdoAAAALAQAADwAAAAAAAAABACAAAAAiAAAAZHJzL2Rvd25yZXYu&#10;eG1sUEsBAhQAFAAAAAgAh07iQO9Po6PAAQAAUQMAAA4AAAAAAAAAAQAgAAAAKQEAAGRycy9lMm9E&#10;b2MueG1sUEsFBgAAAAAGAAYAWQEAAFsFAAAAAA==&#10;">
                <v:fill on="t" focussize="0,0"/>
                <v:stroke on="f" weight="1.5pt"/>
                <v:imagedata o:title=""/>
                <o:lock v:ext="edit" aspectratio="f"/>
                <v:textbox>
                  <w:txbxContent>
                    <w:p>
                      <w:pPr>
                        <w:adjustRightInd w:val="0"/>
                        <w:snapToGrid w:val="0"/>
                        <w:rPr>
                          <w:rFonts w:ascii="微软雅黑" w:hAnsi="微软雅黑" w:eastAsia="微软雅黑"/>
                        </w:rPr>
                      </w:pPr>
                      <w:r>
                        <w:rPr>
                          <w:rFonts w:hint="eastAsia" w:ascii="微软雅黑" w:hAnsi="微软雅黑" w:eastAsia="微软雅黑"/>
                        </w:rPr>
                        <w:t>高崎机场</w:t>
                      </w:r>
                    </w:p>
                  </w:txbxContent>
                </v:textbox>
              </v:shape>
            </w:pict>
          </mc:Fallback>
        </mc:AlternateContent>
      </w:r>
      <w:r>
        <w:rPr>
          <w:rFonts w:hint="eastAsia" w:ascii="华文细黑" w:hAnsi="华文细黑" w:eastAsia="华文细黑" w:cs="华文细黑"/>
          <w:szCs w:val="21"/>
        </w:rPr>
        <mc:AlternateContent>
          <mc:Choice Requires="wps">
            <w:drawing>
              <wp:anchor distT="0" distB="0" distL="114300" distR="114300" simplePos="0" relativeHeight="251661312" behindDoc="0" locked="0" layoutInCell="1" allowOverlap="1">
                <wp:simplePos x="0" y="0"/>
                <wp:positionH relativeFrom="column">
                  <wp:posOffset>1870710</wp:posOffset>
                </wp:positionH>
                <wp:positionV relativeFrom="paragraph">
                  <wp:posOffset>118745</wp:posOffset>
                </wp:positionV>
                <wp:extent cx="742950" cy="304800"/>
                <wp:effectExtent l="0" t="0" r="0" b="0"/>
                <wp:wrapNone/>
                <wp:docPr id="22" name="文本框 105"/>
                <wp:cNvGraphicFramePr/>
                <a:graphic xmlns:a="http://schemas.openxmlformats.org/drawingml/2006/main">
                  <a:graphicData uri="http://schemas.microsoft.com/office/word/2010/wordprocessingShape">
                    <wps:wsp>
                      <wps:cNvSpPr txBox="1"/>
                      <wps:spPr>
                        <a:xfrm>
                          <a:off x="0" y="0"/>
                          <a:ext cx="742950" cy="304800"/>
                        </a:xfrm>
                        <a:prstGeom prst="rect">
                          <a:avLst/>
                        </a:prstGeom>
                        <a:solidFill>
                          <a:srgbClr val="FFC000"/>
                        </a:solidFill>
                        <a:ln w="19050">
                          <a:noFill/>
                        </a:ln>
                        <a:effectLst/>
                      </wps:spPr>
                      <wps:txbx>
                        <w:txbxContent>
                          <w:p>
                            <w:pPr>
                              <w:adjustRightInd w:val="0"/>
                              <w:snapToGrid w:val="0"/>
                              <w:rPr>
                                <w:rFonts w:ascii="微软雅黑" w:hAnsi="微软雅黑" w:eastAsia="微软雅黑"/>
                              </w:rPr>
                            </w:pPr>
                            <w:r>
                              <w:rPr>
                                <w:rFonts w:hint="eastAsia" w:ascii="微软雅黑" w:hAnsi="微软雅黑" w:eastAsia="微软雅黑"/>
                              </w:rPr>
                              <w:t>厦门北站</w:t>
                            </w:r>
                          </w:p>
                        </w:txbxContent>
                      </wps:txbx>
                      <wps:bodyPr wrap="square" upright="1"/>
                    </wps:wsp>
                  </a:graphicData>
                </a:graphic>
              </wp:anchor>
            </w:drawing>
          </mc:Choice>
          <mc:Fallback>
            <w:pict>
              <v:shape id="文本框 105" o:spid="_x0000_s1026" o:spt="202" type="#_x0000_t202" style="position:absolute;left:0pt;margin-left:147.3pt;margin-top:9.35pt;height:24pt;width:58.5pt;z-index:251661312;mso-width-relative:page;mso-height-relative:page;" fillcolor="#FFC000" filled="t" stroked="f" coordsize="21600,21600" o:gfxdata="UEsDBAoAAAAAAIdO4kAAAAAAAAAAAAAAAAAEAAAAZHJzL1BLAwQUAAAACACHTuJAKBMBktkAAAAJ&#10;AQAADwAAAGRycy9kb3ducmV2LnhtbE2PwW7CMAyG75P2DpEn7VKNtAyVrmvKYRLaYSdgQxxDY9qK&#10;xqmaQOHtMSd2tP9Pvz8Xi4vtxBkH3zpSkExiEEiVMy3VCn43y7cMhA+ajO4coYIreliUz0+Fzo0b&#10;aYXndagFl5DPtYImhD6X0lcNWu0nrkfi7OAGqwOPQy3NoEcut52cxnEqrW6JLzS6x68Gq+P6ZBUc&#10;xiyyO7Ptt9Hy+h0d/3bj+49T6vUliT9BBLyEBwx3fVaHkp327kTGi07B9GOWMspBNgfBwCxJeLFX&#10;kKZzkGUh/39Q3gBQSwMEFAAAAAgAh07iQIiVuGXAAQAAUQMAAA4AAABkcnMvZTJvRG9jLnhtbK1T&#10;zW4TMRC+I/EOlu9knaWFdpVNJVqllwqQWh7A8dq7lvzH2MluXgDegBMX7jxXnqNjJw0FboiL154Z&#10;f/6+b2YXV5M1ZCshau9aOp8xSqQTvtOub+mnh9WrC0pi4q7jxjvZ0p2M9Gr58sViDI2s/eBNJ4Eg&#10;iIvNGFo6pBSaqopikJbHmQ/SYVJ5sDzhEfqqAz4iujVVzdibavTQBfBCxojRm0OSLgu+UlKkD0pF&#10;mYhpKXJLZYWyrvNaLRe86YGHQYsjDf4PLCzXDh89Qd3wxMkG9F9QVgvw0as0E95WXiktZNGAaubs&#10;DzX3Aw+yaEFzYjjZFP8frHi//QhEdy2ta0oct9ij/bev++8/9z++kDk7zw6NITZYeB+wNE3v/ISd&#10;fopHDGbhkwKbvyiJYB693p38lVMiAoNvz+rLc8wITL1mZxes+F/9uhwgplvpLcmblgK2r7jKt3cx&#10;IREsfSrJb0VvdLfSxpQD9OtrA2TLsdWr1TU7of9WZhwZkf4lQyL5mvMZ4IBtXI7IMjbHB7P0g8S8&#10;S9N6Ovqx9t0O7RhxdFoaP284SEo2AXQ/IPNiT5WvYN8K7+OM5cF4fsb98z9h+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EwGS2QAAAAkBAAAPAAAAAAAAAAEAIAAAACIAAABkcnMvZG93bnJldi54&#10;bWxQSwECFAAUAAAACACHTuJAiJW4ZcABAABRAwAADgAAAAAAAAABACAAAAAoAQAAZHJzL2Uyb0Rv&#10;Yy54bWxQSwUGAAAAAAYABgBZAQAAWgUAAAAA&#10;">
                <v:fill on="t" focussize="0,0"/>
                <v:stroke on="f" weight="1.5pt"/>
                <v:imagedata o:title=""/>
                <o:lock v:ext="edit" aspectratio="f"/>
                <v:textbox>
                  <w:txbxContent>
                    <w:p>
                      <w:pPr>
                        <w:adjustRightInd w:val="0"/>
                        <w:snapToGrid w:val="0"/>
                        <w:rPr>
                          <w:rFonts w:ascii="微软雅黑" w:hAnsi="微软雅黑" w:eastAsia="微软雅黑"/>
                        </w:rPr>
                      </w:pPr>
                      <w:r>
                        <w:rPr>
                          <w:rFonts w:hint="eastAsia" w:ascii="微软雅黑" w:hAnsi="微软雅黑" w:eastAsia="微软雅黑"/>
                        </w:rPr>
                        <w:t>厦门北站</w:t>
                      </w:r>
                    </w:p>
                  </w:txbxContent>
                </v:textbox>
              </v:shape>
            </w:pict>
          </mc:Fallback>
        </mc:AlternateContent>
      </w:r>
      <w:r>
        <w:rPr>
          <w:rFonts w:hint="eastAsia" w:ascii="华文细黑" w:hAnsi="华文细黑" w:eastAsia="华文细黑" w:cs="华文细黑"/>
          <w:szCs w:val="21"/>
        </w:rPr>
        <w:drawing>
          <wp:inline distT="0" distB="0" distL="114300" distR="114300">
            <wp:extent cx="5686425" cy="4333875"/>
            <wp:effectExtent l="0" t="0" r="9525" b="9525"/>
            <wp:docPr id="4" name="图片 1" descr="C:\Users\1239\Desktop\临时文件夹\厦门地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1239\Desktop\临时文件夹\厦门地图.png"/>
                    <pic:cNvPicPr>
                      <a:picLocks noChangeAspect="1"/>
                    </pic:cNvPicPr>
                  </pic:nvPicPr>
                  <pic:blipFill>
                    <a:blip r:embed="rId6"/>
                    <a:stretch>
                      <a:fillRect/>
                    </a:stretch>
                  </pic:blipFill>
                  <pic:spPr>
                    <a:xfrm>
                      <a:off x="0" y="0"/>
                      <a:ext cx="5686425" cy="4333875"/>
                    </a:xfrm>
                    <a:prstGeom prst="rect">
                      <a:avLst/>
                    </a:prstGeom>
                    <a:noFill/>
                    <a:ln>
                      <a:noFill/>
                    </a:ln>
                  </pic:spPr>
                </pic:pic>
              </a:graphicData>
            </a:graphic>
          </wp:inline>
        </w:drawing>
      </w:r>
    </w:p>
    <w:p>
      <w:pPr>
        <w:widowControl/>
        <w:tabs>
          <w:tab w:val="left" w:pos="600"/>
          <w:tab w:val="center" w:pos="1200"/>
          <w:tab w:val="left" w:pos="4200"/>
          <w:tab w:val="left" w:pos="6720"/>
        </w:tabs>
        <w:spacing w:line="400" w:lineRule="exact"/>
        <w:ind w:right="210" w:rightChars="100"/>
        <w:rPr>
          <w:rFonts w:hint="eastAsia" w:ascii="华文细黑" w:hAnsi="华文细黑" w:eastAsia="华文细黑" w:cs="华文细黑"/>
          <w:b/>
          <w:szCs w:val="21"/>
        </w:rPr>
      </w:pPr>
    </w:p>
    <w:p>
      <w:pPr>
        <w:widowControl/>
        <w:tabs>
          <w:tab w:val="left" w:pos="600"/>
          <w:tab w:val="center" w:pos="1200"/>
          <w:tab w:val="left" w:pos="4200"/>
          <w:tab w:val="left" w:pos="6720"/>
        </w:tabs>
        <w:spacing w:line="400" w:lineRule="exact"/>
        <w:ind w:right="210" w:rightChars="100"/>
        <w:rPr>
          <w:rFonts w:hint="eastAsia" w:ascii="华文细黑" w:hAnsi="华文细黑" w:eastAsia="华文细黑" w:cs="华文细黑"/>
          <w:b/>
          <w:sz w:val="24"/>
          <w:szCs w:val="24"/>
        </w:rPr>
      </w:pPr>
      <w:r>
        <w:rPr>
          <w:rFonts w:hint="eastAsia" w:ascii="华文细黑" w:hAnsi="华文细黑" w:eastAsia="华文细黑" w:cs="华文细黑"/>
          <w:b/>
          <w:sz w:val="24"/>
          <w:szCs w:val="24"/>
        </w:rPr>
        <w:t>从</w:t>
      </w:r>
      <w:r>
        <w:rPr>
          <w:rFonts w:hint="eastAsia" w:ascii="华文细黑" w:hAnsi="华文细黑" w:eastAsia="华文细黑" w:cs="华文细黑"/>
          <w:sz w:val="24"/>
          <w:szCs w:val="24"/>
        </w:rPr>
        <w:t>厦门高崎国际机场</w:t>
      </w:r>
      <w:r>
        <w:rPr>
          <w:rFonts w:hint="eastAsia" w:ascii="华文细黑" w:hAnsi="华文细黑" w:eastAsia="华文细黑" w:cs="华文细黑"/>
          <w:b/>
          <w:sz w:val="24"/>
          <w:szCs w:val="24"/>
        </w:rPr>
        <w:t>机场/火车站出发- 到展馆：</w:t>
      </w:r>
    </w:p>
    <w:p>
      <w:pPr>
        <w:spacing w:line="400" w:lineRule="exact"/>
        <w:ind w:right="-20"/>
        <w:rPr>
          <w:rFonts w:hint="eastAsia" w:ascii="华文细黑" w:hAnsi="华文细黑" w:eastAsia="华文细黑" w:cs="华文细黑"/>
          <w:sz w:val="24"/>
          <w:szCs w:val="24"/>
        </w:rPr>
      </w:pPr>
      <w:r>
        <w:rPr>
          <w:rFonts w:hint="eastAsia" w:ascii="华文细黑" w:hAnsi="华文细黑" w:eastAsia="华文细黑" w:cs="华文细黑"/>
          <w:sz w:val="24"/>
          <w:szCs w:val="24"/>
        </w:rPr>
        <w:t>（1）从厦门高崎国际机场出发，乘坐出租车（车程约30分钟）</w:t>
      </w:r>
    </w:p>
    <w:p>
      <w:pPr>
        <w:spacing w:line="400" w:lineRule="exact"/>
        <w:ind w:left="100" w:right="-20"/>
        <w:rPr>
          <w:rFonts w:hint="eastAsia" w:ascii="华文细黑" w:hAnsi="华文细黑" w:eastAsia="华文细黑" w:cs="华文细黑"/>
          <w:sz w:val="24"/>
          <w:szCs w:val="24"/>
          <w:shd w:val="clear" w:color="auto" w:fill="EBF1FB"/>
        </w:rPr>
      </w:pPr>
      <w:r>
        <w:rPr>
          <w:rFonts w:hint="eastAsia" w:ascii="华文细黑" w:hAnsi="华文细黑" w:eastAsia="华文细黑" w:cs="华文细黑"/>
          <w:sz w:val="24"/>
          <w:szCs w:val="24"/>
        </w:rPr>
        <w:t>或乘坐</w:t>
      </w:r>
      <w:r>
        <w:rPr>
          <w:rStyle w:val="71"/>
          <w:rFonts w:hint="eastAsia" w:ascii="华文细黑" w:hAnsi="华文细黑" w:eastAsia="华文细黑" w:cs="华文细黑"/>
          <w:sz w:val="24"/>
          <w:szCs w:val="24"/>
        </w:rPr>
        <w:t>空港快线曾厝垵线</w:t>
      </w:r>
      <w:r>
        <w:rPr>
          <w:rStyle w:val="77"/>
          <w:rFonts w:hint="eastAsia" w:ascii="华文细黑" w:hAnsi="华文细黑" w:eastAsia="华文细黑" w:cs="华文细黑"/>
          <w:sz w:val="24"/>
          <w:szCs w:val="24"/>
        </w:rPr>
        <w:t> 从</w:t>
      </w:r>
      <w:r>
        <w:rPr>
          <w:rStyle w:val="77"/>
          <w:rFonts w:hint="eastAsia" w:ascii="华文细黑" w:hAnsi="华文细黑" w:eastAsia="华文细黑" w:cs="华文细黑"/>
          <w:sz w:val="24"/>
          <w:szCs w:val="24"/>
          <w:lang w:val="en-US" w:eastAsia="zh-CN"/>
        </w:rPr>
        <w:t>T</w:t>
      </w:r>
      <w:r>
        <w:rPr>
          <w:rFonts w:hint="eastAsia" w:ascii="华文细黑" w:hAnsi="华文细黑" w:eastAsia="华文细黑" w:cs="华文细黑"/>
          <w:sz w:val="24"/>
          <w:szCs w:val="24"/>
        </w:rPr>
        <w:t>3候机楼空港快线站上车到会展南路口站下车  （车程约1小时30分钟）</w:t>
      </w:r>
    </w:p>
    <w:p>
      <w:pPr>
        <w:spacing w:line="400" w:lineRule="exact"/>
        <w:ind w:right="-20"/>
        <w:rPr>
          <w:rFonts w:hint="eastAsia" w:ascii="华文细黑" w:hAnsi="华文细黑" w:eastAsia="华文细黑" w:cs="华文细黑"/>
          <w:sz w:val="24"/>
          <w:szCs w:val="24"/>
        </w:rPr>
      </w:pPr>
      <w:r>
        <w:rPr>
          <w:rFonts w:hint="eastAsia" w:ascii="华文细黑" w:hAnsi="华文细黑" w:eastAsia="华文细黑" w:cs="华文细黑"/>
          <w:sz w:val="24"/>
          <w:szCs w:val="24"/>
        </w:rPr>
        <w:t>（2）从厦门站出发，乘坐出租车（车程约30分钟）</w:t>
      </w:r>
    </w:p>
    <w:p>
      <w:pPr>
        <w:spacing w:line="400" w:lineRule="exact"/>
        <w:ind w:left="100" w:right="-20"/>
        <w:rPr>
          <w:rFonts w:hint="eastAsia" w:ascii="华文细黑" w:hAnsi="华文细黑" w:eastAsia="华文细黑" w:cs="华文细黑"/>
          <w:sz w:val="24"/>
          <w:szCs w:val="24"/>
          <w:shd w:val="clear" w:color="auto" w:fill="EBF1FB"/>
        </w:rPr>
      </w:pPr>
      <w:r>
        <w:rPr>
          <w:rFonts w:hint="eastAsia" w:ascii="华文细黑" w:hAnsi="华文细黑" w:eastAsia="华文细黑" w:cs="华文细黑"/>
          <w:sz w:val="24"/>
          <w:szCs w:val="24"/>
        </w:rPr>
        <w:t>或乘坐公交19a路、19b路，高崎火车站(中埔)站</w:t>
      </w:r>
      <w:r>
        <w:rPr>
          <w:rStyle w:val="77"/>
          <w:rFonts w:hint="eastAsia" w:ascii="华文细黑" w:hAnsi="华文细黑" w:eastAsia="华文细黑" w:cs="华文细黑"/>
          <w:sz w:val="24"/>
          <w:szCs w:val="24"/>
        </w:rPr>
        <w:t> </w:t>
      </w:r>
      <w:r>
        <w:rPr>
          <w:rFonts w:hint="eastAsia" w:ascii="华文细黑" w:hAnsi="华文细黑" w:eastAsia="华文细黑" w:cs="华文细黑"/>
          <w:sz w:val="24"/>
          <w:szCs w:val="24"/>
        </w:rPr>
        <w:t> 上车到明发海景苑站下车（车程约1小时30分钟）</w:t>
      </w:r>
    </w:p>
    <w:p>
      <w:pPr>
        <w:spacing w:line="400" w:lineRule="exact"/>
        <w:ind w:right="-20"/>
        <w:rPr>
          <w:rFonts w:hint="eastAsia" w:ascii="华文细黑" w:hAnsi="华文细黑" w:eastAsia="华文细黑" w:cs="华文细黑"/>
          <w:sz w:val="24"/>
          <w:szCs w:val="24"/>
        </w:rPr>
      </w:pPr>
      <w:r>
        <w:rPr>
          <w:rFonts w:hint="eastAsia" w:ascii="华文细黑" w:hAnsi="华文细黑" w:eastAsia="华文细黑" w:cs="华文细黑"/>
          <w:sz w:val="24"/>
          <w:szCs w:val="24"/>
        </w:rPr>
        <w:t>（3）从厦门北站出发，乘坐出租车（车程约60分钟）</w:t>
      </w:r>
    </w:p>
    <w:p>
      <w:pPr>
        <w:spacing w:line="400" w:lineRule="exact"/>
        <w:ind w:left="100" w:right="-20"/>
        <w:rPr>
          <w:rFonts w:hint="eastAsia" w:ascii="华文细黑" w:hAnsi="华文细黑" w:eastAsia="华文细黑" w:cs="华文细黑"/>
          <w:b/>
          <w:sz w:val="24"/>
          <w:szCs w:val="24"/>
        </w:rPr>
      </w:pPr>
      <w:r>
        <w:rPr>
          <w:rFonts w:hint="eastAsia" w:ascii="华文细黑" w:hAnsi="华文细黑" w:eastAsia="华文细黑" w:cs="华文细黑"/>
          <w:sz w:val="24"/>
          <w:szCs w:val="24"/>
        </w:rPr>
        <w:t>或乘坐公交快1路，厦门北站上车到东芳山庄站下车换乘 58路/942路/109路到明发新城站下车(车程约2小时20分钟)</w:t>
      </w:r>
    </w:p>
    <w:p>
      <w:pPr>
        <w:autoSpaceDE w:val="0"/>
        <w:autoSpaceDN w:val="0"/>
        <w:adjustRightInd w:val="0"/>
        <w:spacing w:line="240" w:lineRule="auto"/>
        <w:jc w:val="left"/>
        <w:rPr>
          <w:rFonts w:hint="eastAsia" w:ascii="华文细黑" w:hAnsi="华文细黑" w:eastAsia="华文细黑" w:cs="华文细黑"/>
          <w:kern w:val="0"/>
          <w:szCs w:val="21"/>
        </w:rPr>
      </w:pPr>
    </w:p>
    <w:p>
      <w:pPr>
        <w:rPr>
          <w:rFonts w:hint="eastAsia" w:ascii="华文细黑" w:hAnsi="华文细黑" w:eastAsia="华文细黑" w:cs="华文细黑"/>
          <w:b/>
          <w:szCs w:val="21"/>
        </w:rPr>
      </w:pPr>
    </w:p>
    <w:p>
      <w:pPr>
        <w:rPr>
          <w:rFonts w:hint="eastAsia" w:ascii="华文细黑" w:hAnsi="华文细黑" w:eastAsia="华文细黑" w:cs="华文细黑"/>
          <w:b/>
          <w:szCs w:val="21"/>
        </w:rPr>
      </w:pPr>
    </w:p>
    <w:p>
      <w:pPr>
        <w:rPr>
          <w:rFonts w:hint="eastAsia" w:ascii="华文细黑" w:hAnsi="华文细黑" w:eastAsia="华文细黑" w:cs="华文细黑"/>
          <w:b/>
          <w:sz w:val="24"/>
          <w:szCs w:val="24"/>
        </w:rPr>
      </w:pPr>
      <w:bookmarkStart w:id="34" w:name="_Toc14757_WPSOffice_Level2"/>
      <w:r>
        <w:rPr>
          <w:rFonts w:hint="eastAsia" w:ascii="华文细黑" w:hAnsi="华文细黑" w:eastAsia="华文细黑" w:cs="华文细黑"/>
          <w:b/>
          <w:sz w:val="24"/>
          <w:szCs w:val="24"/>
          <w:lang w:val="en-US" w:eastAsia="zh-CN"/>
        </w:rPr>
        <w:t>5.</w:t>
      </w:r>
      <w:r>
        <w:rPr>
          <w:rFonts w:hint="eastAsia" w:ascii="华文细黑" w:hAnsi="华文细黑" w:eastAsia="华文细黑" w:cs="华文细黑"/>
          <w:b/>
          <w:sz w:val="24"/>
          <w:szCs w:val="24"/>
        </w:rPr>
        <w:t>展馆位置图</w:t>
      </w:r>
      <w:bookmarkEnd w:id="34"/>
    </w:p>
    <w:p>
      <w:pPr>
        <w:rPr>
          <w:rFonts w:hint="eastAsia" w:ascii="华文细黑" w:hAnsi="华文细黑" w:eastAsia="华文细黑" w:cs="华文细黑"/>
          <w:b/>
          <w:sz w:val="28"/>
          <w:szCs w:val="28"/>
        </w:rPr>
      </w:pPr>
    </w:p>
    <w:p>
      <w:pPr>
        <w:rPr>
          <w:rFonts w:hint="eastAsia" w:ascii="华文细黑" w:hAnsi="华文细黑" w:eastAsia="华文细黑" w:cs="华文细黑"/>
          <w:b/>
          <w:sz w:val="28"/>
          <w:szCs w:val="28"/>
          <w:lang w:eastAsia="zh-CN"/>
        </w:rPr>
      </w:pPr>
      <w:r>
        <w:rPr>
          <w:sz w:val="28"/>
        </w:rPr>
        <mc:AlternateContent>
          <mc:Choice Requires="wps">
            <w:drawing>
              <wp:anchor distT="0" distB="0" distL="114300" distR="114300" simplePos="0" relativeHeight="251664384" behindDoc="0" locked="0" layoutInCell="1" allowOverlap="1">
                <wp:simplePos x="0" y="0"/>
                <wp:positionH relativeFrom="column">
                  <wp:posOffset>4112895</wp:posOffset>
                </wp:positionH>
                <wp:positionV relativeFrom="paragraph">
                  <wp:posOffset>1406525</wp:posOffset>
                </wp:positionV>
                <wp:extent cx="1905000" cy="790575"/>
                <wp:effectExtent l="4445" t="4445" r="14605" b="5080"/>
                <wp:wrapNone/>
                <wp:docPr id="2" name="矩形 79"/>
                <wp:cNvGraphicFramePr/>
                <a:graphic xmlns:a="http://schemas.openxmlformats.org/drawingml/2006/main">
                  <a:graphicData uri="http://schemas.microsoft.com/office/word/2010/wordprocessingShape">
                    <wps:wsp>
                      <wps:cNvSpPr/>
                      <wps:spPr>
                        <a:xfrm>
                          <a:off x="0" y="0"/>
                          <a:ext cx="1905000" cy="790575"/>
                        </a:xfrm>
                        <a:prstGeom prst="rect">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ascii="黑体" w:hAnsi="黑体" w:eastAsia="黑体" w:cs="黑体"/>
                                <w:b/>
                                <w:bCs/>
                                <w:sz w:val="24"/>
                                <w:szCs w:val="24"/>
                                <w:lang w:eastAsia="zh-CN"/>
                              </w:rPr>
                            </w:pPr>
                            <w:r>
                              <w:rPr>
                                <w:rFonts w:hint="eastAsia" w:ascii="黑体" w:hAnsi="黑体" w:eastAsia="黑体" w:cs="黑体"/>
                                <w:b/>
                                <w:bCs/>
                                <w:sz w:val="24"/>
                                <w:szCs w:val="24"/>
                              </w:rPr>
                              <w:t>2019第三届中国（厦门）国际绿色建筑产业博览会</w:t>
                            </w:r>
                          </w:p>
                        </w:txbxContent>
                      </wps:txbx>
                      <wps:bodyPr vert="horz" wrap="square" anchor="t" upright="1"/>
                    </wps:wsp>
                  </a:graphicData>
                </a:graphic>
              </wp:anchor>
            </w:drawing>
          </mc:Choice>
          <mc:Fallback>
            <w:pict>
              <v:rect id="矩形 79" o:spid="_x0000_s1026" o:spt="1" style="position:absolute;left:0pt;margin-left:323.85pt;margin-top:110.75pt;height:62.25pt;width:150pt;z-index:251664384;mso-width-relative:page;mso-height-relative:page;" fillcolor="#FFFF00" filled="t" stroked="t" coordsize="21600,21600" o:gfxdata="UEsDBAoAAAAAAIdO4kAAAAAAAAAAAAAAAAAEAAAAZHJzL1BLAwQUAAAACACHTuJAELriJtsAAAAL&#10;AQAADwAAAGRycy9kb3ducmV2LnhtbE2Py07DMBBF90j8gzVI7KiT0KZpyKSL8pDYVBCqrt14mkSN&#10;x1Hsvv4ewwaWM3N059xieTG9ONHoOssI8SQCQVxb3XGDsPl6fchAOK9Yq94yIVzJwbK8vSlUru2Z&#10;P+lU+UaEEHa5Qmi9H3IpXd2SUW5iB+Jw29vRKB/GsZF6VOcQbnqZRFEqjeo4fGjVQKuW6kN1NAhv&#10;m+H9UK2uSbb+mL1U2fN2sV9vEe/v4ugJhKeL/4PhRz+oQxmcdvbI2okeIZ3O5wFFSJJ4BiIQi9/N&#10;DuFxmkYgy0L+71B+A1BLAwQUAAAACACHTuJAA+Iu1QECAAABBAAADgAAAGRycy9lMm9Eb2MueG1s&#10;rVPNjtMwEL4j8Q6W7zRppVIaNd0DpVwQrLTsA0wdJ7HkP8Zuk/IySNx4CB4H8RqM3dLdZfeAEDk4&#10;M/b4m/m+8ayuRqPZQWJQztZ8Oik5k1a4Rtmu5rcfty9ecRYi2Aa0s7LmRxn41fr5s9XgKzlzvdON&#10;REYgNlSDr3kfo6+KIoheGggT56Wlw9ahgUgudkWDMBC60cWsLF8Wg8PGoxMyBNrdnA75OuO3rRTx&#10;Q9sGGZmuOdUW84p53aW1WK+g6hB8r8S5DPiHKgwoS0kvUBuIwPaoHkEZJdAF18aJcKZwbauEzByI&#10;zbT8g81ND15mLiRO8BeZwv+DFe8P18hUU/MZZxYMtejnl28/vn9li2USZ/Chopgbf41nL5CZmI4t&#10;mvQnDmzMgh4vgsoxMkGb02U5L0vSXdDZgpzFPIEWd7c9hvhWOsOSUXOkhmUd4fAuxFPo75CULDit&#10;mq3SOjvY7V5rZAeg5m7po0ynKw/CtGVDzZfz2ZzqAHpjrYZIpvHEOtgu53twI9wHpvoThSeAU2Eb&#10;CP2pgIyQwqAyKkrMVi+heWMbFo+elLU0AjwVY2TDmZY0McnKkRGU/ptI0k5bkjA15tSKZMVxNxJM&#10;MneuOVJLaSZJz97hZ8pI75uoftoDUn6wgrZrThrsPaqup7hp5peu0zvLDTrPRHrI9/2c+W5y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riJtsAAAALAQAADwAAAAAAAAABACAAAAAiAAAAZHJz&#10;L2Rvd25yZXYueG1sUEsBAhQAFAAAAAgAh07iQAPiLtUBAgAAAQQAAA4AAAAAAAAAAQAgAAAAKgEA&#10;AGRycy9lMm9Eb2MueG1sUEsFBgAAAAAGAAYAWQEAAJ0FAAAAAA==&#10;">
                <v:fill on="t" focussize="0,0"/>
                <v:stroke color="#000000" joinstyle="miter"/>
                <v:imagedata o:title=""/>
                <o:lock v:ext="edit" aspectratio="f"/>
                <v:textbox>
                  <w:txbxContent>
                    <w:p>
                      <w:pPr>
                        <w:rPr>
                          <w:rFonts w:hint="eastAsia" w:ascii="黑体" w:hAnsi="黑体" w:eastAsia="黑体" w:cs="黑体"/>
                          <w:b/>
                          <w:bCs/>
                          <w:sz w:val="24"/>
                          <w:szCs w:val="24"/>
                          <w:lang w:eastAsia="zh-CN"/>
                        </w:rPr>
                      </w:pPr>
                      <w:r>
                        <w:rPr>
                          <w:rFonts w:hint="eastAsia" w:ascii="黑体" w:hAnsi="黑体" w:eastAsia="黑体" w:cs="黑体"/>
                          <w:b/>
                          <w:bCs/>
                          <w:sz w:val="24"/>
                          <w:szCs w:val="24"/>
                        </w:rPr>
                        <w:t>2019第三届中国（厦门）国际绿色建筑产业博览会</w:t>
                      </w:r>
                    </w:p>
                  </w:txbxContent>
                </v:textbox>
              </v:rect>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4934585</wp:posOffset>
                </wp:positionH>
                <wp:positionV relativeFrom="paragraph">
                  <wp:posOffset>2273935</wp:posOffset>
                </wp:positionV>
                <wp:extent cx="288925" cy="357505"/>
                <wp:effectExtent l="16510" t="5080" r="18415" b="18415"/>
                <wp:wrapNone/>
                <wp:docPr id="3" name="自选图形 80"/>
                <wp:cNvGraphicFramePr/>
                <a:graphic xmlns:a="http://schemas.openxmlformats.org/drawingml/2006/main">
                  <a:graphicData uri="http://schemas.microsoft.com/office/word/2010/wordprocessingShape">
                    <wps:wsp>
                      <wps:cNvSpPr/>
                      <wps:spPr>
                        <a:xfrm>
                          <a:off x="0" y="0"/>
                          <a:ext cx="288925" cy="357505"/>
                        </a:xfrm>
                        <a:prstGeom prst="downArrow">
                          <a:avLst>
                            <a:gd name="adj1" fmla="val 50000"/>
                            <a:gd name="adj2" fmla="val 30934"/>
                          </a:avLst>
                        </a:prstGeom>
                        <a:solidFill>
                          <a:srgbClr val="FFFF00"/>
                        </a:solidFill>
                        <a:ln w="9525" cap="flat" cmpd="sng">
                          <a:solidFill>
                            <a:srgbClr val="000000"/>
                          </a:solidFill>
                          <a:prstDash val="solid"/>
                          <a:miter/>
                          <a:headEnd type="none" w="med" len="med"/>
                          <a:tailEnd type="none" w="med" len="med"/>
                        </a:ln>
                      </wps:spPr>
                      <wps:bodyPr vert="horz" wrap="square" anchor="t" upright="1"/>
                    </wps:wsp>
                  </a:graphicData>
                </a:graphic>
              </wp:anchor>
            </w:drawing>
          </mc:Choice>
          <mc:Fallback>
            <w:pict>
              <v:shape id="自选图形 80" o:spid="_x0000_s1026" o:spt="67" type="#_x0000_t67" style="position:absolute;left:0pt;margin-left:388.55pt;margin-top:179.05pt;height:28.15pt;width:22.75pt;z-index:251665408;mso-width-relative:page;mso-height-relative:page;" fillcolor="#FFFF00" filled="t" stroked="t" coordsize="21600,21600" o:gfxdata="UEsDBAoAAAAAAIdO4kAAAAAAAAAAAAAAAAAEAAAAZHJzL1BLAwQUAAAACACHTuJAt3roktwAAAAL&#10;AQAADwAAAGRycy9kb3ducmV2LnhtbE2PwU7DMAyG70h7h8iTuCCWppS2Kk0ngTQhxC5su/TmNVlb&#10;rXGqJtvK2xNOcLPlT7+/v1zPZmBXPbnekgSxioBpaqzqqZVw2G8ec2DOIykcLGkJ39rBulrclVgo&#10;e6Mvfd35loUQcgVK6LwfC85d02mDbmVHTeF2spNBH9ap5WrCWwg3A4+jKOUGewofOhz1W6eb8+5i&#10;JLzuP/H943zA+pTM2/phgyjqVMr7pYhegHk9+z8YfvWDOlTB6WgvpBwbJGRZJgIq4ek5D0Mg8jhO&#10;gR0lJCJJgFcl/9+h+gFQSwMEFAAAAAgAh07iQKeD9s0pAgAAUQQAAA4AAABkcnMvZTJvRG9jLnht&#10;bK1US44TMRDdI3EHy3umOwmBJEpnhAhhg2CkgQNUbHe3kX/YTjphxQ5xBnYsuQPcZiS4BWWnSTLA&#10;AiF64fhTfvXeK1fmlzutyFb4IK2p6OCipEQYZrk0TUVfvVzdm1ASIhgOyhpR0b0I9HJx9868czMx&#10;tK1VXHiCICbMOlfRNkY3K4rAWqEhXFgnDB7W1muIuPRNwT10iK5VMSzLB0VnPXfeMhEC7i4Ph3SR&#10;8etasPiiroOIRFUUucU8+jyu01gs5jBrPLhWsp4G/AMLDdJg0iPUEiKQjZe/QWnJvA22jhfM6sLW&#10;tWQia0A1g/IXNdctOJG1oDnBHW0K/w+WPd9eeSJ5RUeUGNBYom/vP39/9+Hm49ebL5/IJFvUuTDD&#10;yGt35dGwtAo4TXp3tdfpF5WQXbZ1f7RV7CJhuDmcTKbDMSUMj0bjh+NynGwvTpedD/GpsJqkSUW5&#10;7cwj722XHYXtsxCztbwnCPz1gJJaK6zUFhQZl/j1lTyLGZ7HjMrp6H6ftkdEAj8TJ/hgleQrqVRe&#10;+Gb9WHmC8BVd4XdIgFduhSlDuopOx1kd4POtFUQUqh0aGkyTBdy6Ec6BE+8/AydiSwjtgUBGOAjU&#10;MgqfH20rgD8xnMS9w6IZ7C6ayGjBKVECmzHNcmQEqf4mEtUpg4U51TfN1pbv8Ylgj2NpWuvfYhrs&#10;F9T3ZgMek4JhuF1RFL5xXjYtxg2y1ek6vttc677HUmOcr3O60z/B4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euiS3AAAAAsBAAAPAAAAAAAAAAEAIAAAACIAAABkcnMvZG93bnJldi54bWxQSwEC&#10;FAAUAAAACACHTuJAp4P2zSkCAABRBAAADgAAAAAAAAABACAAAAArAQAAZHJzL2Uyb0RvYy54bWxQ&#10;SwUGAAAAAAYABgBZAQAAxgUAAAAA&#10;" adj="16201,5400">
                <v:fill on="t" focussize="0,0"/>
                <v:stroke color="#000000" joinstyle="miter"/>
                <v:imagedata o:title=""/>
                <o:lock v:ext="edit" aspectratio="f"/>
              </v:shape>
            </w:pict>
          </mc:Fallback>
        </mc:AlternateContent>
      </w:r>
      <w:r>
        <w:rPr>
          <w:rFonts w:hint="eastAsia" w:ascii="华文细黑" w:hAnsi="华文细黑" w:eastAsia="华文细黑" w:cs="华文细黑"/>
          <w:b/>
          <w:sz w:val="28"/>
          <w:szCs w:val="28"/>
          <w:lang w:eastAsia="zh-CN"/>
        </w:rPr>
        <w:drawing>
          <wp:inline distT="0" distB="0" distL="114300" distR="114300">
            <wp:extent cx="6018530" cy="5120005"/>
            <wp:effectExtent l="0" t="0" r="1270" b="4445"/>
            <wp:docPr id="5" name="图片 9" descr="48508273147710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485082731477107675"/>
                    <pic:cNvPicPr>
                      <a:picLocks noChangeAspect="1"/>
                    </pic:cNvPicPr>
                  </pic:nvPicPr>
                  <pic:blipFill>
                    <a:blip r:embed="rId7"/>
                    <a:stretch>
                      <a:fillRect/>
                    </a:stretch>
                  </pic:blipFill>
                  <pic:spPr>
                    <a:xfrm>
                      <a:off x="0" y="0"/>
                      <a:ext cx="6018530" cy="5120005"/>
                    </a:xfrm>
                    <a:prstGeom prst="rect">
                      <a:avLst/>
                    </a:prstGeom>
                    <a:noFill/>
                    <a:ln>
                      <a:noFill/>
                    </a:ln>
                  </pic:spPr>
                </pic:pic>
              </a:graphicData>
            </a:graphic>
          </wp:inline>
        </w:drawing>
      </w:r>
    </w:p>
    <w:p>
      <w:pPr>
        <w:rPr>
          <w:rFonts w:hint="eastAsia" w:ascii="华文细黑" w:hAnsi="华文细黑" w:eastAsia="华文细黑" w:cs="华文细黑"/>
          <w:b/>
          <w:sz w:val="28"/>
          <w:szCs w:val="28"/>
        </w:rPr>
      </w:pPr>
    </w:p>
    <w:p>
      <w:pPr>
        <w:rPr>
          <w:rFonts w:hint="eastAsia" w:ascii="华文细黑" w:hAnsi="华文细黑" w:eastAsia="华文细黑" w:cs="华文细黑"/>
          <w:b/>
          <w:sz w:val="28"/>
          <w:szCs w:val="28"/>
        </w:rPr>
      </w:pPr>
    </w:p>
    <w:p>
      <w:pPr>
        <w:rPr>
          <w:rFonts w:hint="eastAsia" w:ascii="华文细黑" w:hAnsi="华文细黑" w:eastAsia="华文细黑" w:cs="华文细黑"/>
          <w:b/>
          <w:sz w:val="28"/>
          <w:szCs w:val="28"/>
        </w:rPr>
      </w:pPr>
    </w:p>
    <w:p>
      <w:pPr>
        <w:rPr>
          <w:rFonts w:hint="eastAsia" w:ascii="华文细黑" w:hAnsi="华文细黑" w:eastAsia="华文细黑" w:cs="华文细黑"/>
          <w:b/>
          <w:sz w:val="28"/>
          <w:szCs w:val="28"/>
        </w:rPr>
      </w:pPr>
    </w:p>
    <w:p>
      <w:pPr>
        <w:rPr>
          <w:rFonts w:hint="eastAsia" w:ascii="华文细黑" w:hAnsi="华文细黑" w:eastAsia="华文细黑" w:cs="华文细黑"/>
          <w:b/>
          <w:sz w:val="28"/>
          <w:szCs w:val="28"/>
        </w:rPr>
      </w:pPr>
    </w:p>
    <w:p>
      <w:pPr>
        <w:rPr>
          <w:rFonts w:hint="eastAsia" w:ascii="华文细黑" w:hAnsi="华文细黑" w:eastAsia="华文细黑" w:cs="华文细黑"/>
          <w:b/>
          <w:sz w:val="28"/>
          <w:szCs w:val="28"/>
        </w:rPr>
      </w:pPr>
    </w:p>
    <w:p>
      <w:pPr>
        <w:rPr>
          <w:rFonts w:hint="eastAsia" w:ascii="华文细黑" w:hAnsi="华文细黑" w:eastAsia="华文细黑" w:cs="华文细黑"/>
          <w:b/>
          <w:sz w:val="28"/>
          <w:szCs w:val="28"/>
        </w:rPr>
      </w:pPr>
    </w:p>
    <w:p>
      <w:pPr>
        <w:spacing w:line="240" w:lineRule="auto"/>
        <w:rPr>
          <w:rFonts w:hint="eastAsia" w:ascii="华文细黑" w:hAnsi="华文细黑" w:eastAsia="华文细黑" w:cs="华文细黑"/>
          <w:b/>
          <w:sz w:val="24"/>
          <w:szCs w:val="24"/>
          <w:lang w:eastAsia="zh-CN"/>
        </w:rPr>
      </w:pPr>
      <w:bookmarkStart w:id="35" w:name="_Toc30516_WPSOffice_Level2"/>
      <w:r>
        <w:rPr>
          <w:rFonts w:hint="eastAsia" w:ascii="华文细黑" w:hAnsi="华文细黑" w:eastAsia="华文细黑" w:cs="华文细黑"/>
          <w:b/>
          <w:sz w:val="24"/>
          <w:szCs w:val="24"/>
          <w:lang w:val="en-US" w:eastAsia="zh-CN"/>
        </w:rPr>
        <w:t>6.</w:t>
      </w:r>
      <w:r>
        <w:rPr>
          <w:rFonts w:hint="eastAsia" w:ascii="华文细黑" w:hAnsi="华文细黑" w:eastAsia="华文细黑" w:cs="华文细黑"/>
          <w:b/>
          <w:sz w:val="24"/>
          <w:szCs w:val="24"/>
          <w:lang w:eastAsia="zh-CN"/>
        </w:rPr>
        <w:t>展厅平面图</w:t>
      </w:r>
      <w:bookmarkEnd w:id="35"/>
    </w:p>
    <w:p>
      <w:pPr>
        <w:spacing w:line="240" w:lineRule="auto"/>
        <w:rPr>
          <w:rFonts w:hint="eastAsia" w:ascii="华文细黑" w:hAnsi="华文细黑" w:eastAsia="华文细黑" w:cs="华文细黑"/>
          <w:b/>
          <w:sz w:val="24"/>
          <w:szCs w:val="24"/>
          <w:lang w:eastAsia="zh-CN"/>
        </w:rPr>
      </w:pPr>
      <w:r>
        <w:rPr>
          <w:rFonts w:hint="eastAsia" w:ascii="华文细黑" w:hAnsi="华文细黑" w:eastAsia="华文细黑" w:cs="华文细黑"/>
          <w:b/>
          <w:sz w:val="24"/>
          <w:szCs w:val="24"/>
          <w:lang w:eastAsia="zh-CN"/>
        </w:rPr>
        <w:drawing>
          <wp:inline distT="0" distB="0" distL="114300" distR="114300">
            <wp:extent cx="5376545" cy="6897370"/>
            <wp:effectExtent l="0" t="0" r="14605" b="17780"/>
            <wp:docPr id="7" name="图片 7" descr="展厅平面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展厅平面图2"/>
                    <pic:cNvPicPr>
                      <a:picLocks noChangeAspect="1"/>
                    </pic:cNvPicPr>
                  </pic:nvPicPr>
                  <pic:blipFill>
                    <a:blip r:embed="rId8"/>
                    <a:stretch>
                      <a:fillRect/>
                    </a:stretch>
                  </pic:blipFill>
                  <pic:spPr>
                    <a:xfrm>
                      <a:off x="0" y="0"/>
                      <a:ext cx="5376545" cy="6897370"/>
                    </a:xfrm>
                    <a:prstGeom prst="rect">
                      <a:avLst/>
                    </a:prstGeom>
                  </pic:spPr>
                </pic:pic>
              </a:graphicData>
            </a:graphic>
          </wp:inline>
        </w:drawing>
      </w:r>
    </w:p>
    <w:p>
      <w:pPr>
        <w:rPr>
          <w:rFonts w:hint="eastAsia" w:ascii="华文细黑" w:hAnsi="华文细黑" w:eastAsia="华文细黑" w:cs="华文细黑"/>
          <w:b/>
          <w:sz w:val="28"/>
          <w:szCs w:val="28"/>
        </w:rPr>
      </w:pPr>
    </w:p>
    <w:p>
      <w:pPr>
        <w:tabs>
          <w:tab w:val="left" w:pos="6752"/>
        </w:tabs>
        <w:rPr>
          <w:rFonts w:hint="eastAsia" w:ascii="华文细黑" w:hAnsi="华文细黑" w:eastAsia="华文细黑" w:cs="华文细黑"/>
          <w:kern w:val="0"/>
          <w:szCs w:val="21"/>
        </w:rPr>
      </w:pPr>
    </w:p>
    <w:p>
      <w:pPr>
        <w:tabs>
          <w:tab w:val="left" w:pos="6752"/>
        </w:tabs>
        <w:rPr>
          <w:rFonts w:hint="eastAsia" w:ascii="华文细黑" w:hAnsi="华文细黑" w:eastAsia="华文细黑" w:cs="华文细黑"/>
          <w:kern w:val="0"/>
          <w:szCs w:val="21"/>
        </w:rPr>
      </w:pPr>
    </w:p>
    <w:p>
      <w:pPr>
        <w:tabs>
          <w:tab w:val="left" w:pos="6752"/>
        </w:tabs>
        <w:rPr>
          <w:rFonts w:hint="eastAsia" w:ascii="华文细黑" w:hAnsi="华文细黑" w:eastAsia="华文细黑" w:cs="华文细黑"/>
          <w:kern w:val="0"/>
          <w:szCs w:val="21"/>
        </w:rPr>
      </w:pPr>
    </w:p>
    <w:p>
      <w:pPr>
        <w:tabs>
          <w:tab w:val="left" w:pos="6752"/>
        </w:tabs>
        <w:rPr>
          <w:rFonts w:hint="eastAsia" w:ascii="华文细黑" w:hAnsi="华文细黑" w:eastAsia="华文细黑" w:cs="华文细黑"/>
          <w:kern w:val="0"/>
          <w:szCs w:val="21"/>
        </w:rPr>
      </w:pPr>
    </w:p>
    <w:p>
      <w:pPr>
        <w:autoSpaceDE w:val="0"/>
        <w:autoSpaceDN w:val="0"/>
        <w:adjustRightInd w:val="0"/>
        <w:spacing w:line="240" w:lineRule="auto"/>
        <w:jc w:val="left"/>
        <w:rPr>
          <w:rFonts w:hint="eastAsia" w:ascii="华文细黑" w:hAnsi="华文细黑" w:eastAsia="华文细黑" w:cs="华文细黑"/>
          <w:b/>
          <w:kern w:val="0"/>
          <w:sz w:val="32"/>
          <w:szCs w:val="32"/>
          <w:bdr w:val="single" w:color="auto" w:sz="4" w:space="0"/>
        </w:rPr>
      </w:pPr>
      <w:bookmarkStart w:id="36" w:name="_Toc19271_WPSOffice_Level1"/>
      <w:bookmarkStart w:id="37" w:name="_Toc29065_WPSOffice_Level1"/>
      <w:r>
        <w:rPr>
          <w:rFonts w:hint="eastAsia" w:ascii="华文细黑" w:hAnsi="华文细黑" w:eastAsia="华文细黑" w:cs="华文细黑"/>
          <w:b/>
          <w:kern w:val="0"/>
          <w:sz w:val="32"/>
          <w:szCs w:val="32"/>
          <w:lang w:val="en-US" w:eastAsia="zh-CN"/>
        </w:rPr>
        <w:t>二</w:t>
      </w:r>
      <w:r>
        <w:rPr>
          <w:rFonts w:hint="eastAsia" w:ascii="华文细黑" w:hAnsi="华文细黑" w:eastAsia="华文细黑" w:cs="华文细黑"/>
          <w:b/>
          <w:kern w:val="0"/>
          <w:sz w:val="32"/>
          <w:szCs w:val="32"/>
        </w:rPr>
        <w:t>、特装展位布撤展须知</w:t>
      </w:r>
      <w:bookmarkEnd w:id="36"/>
      <w:bookmarkEnd w:id="37"/>
    </w:p>
    <w:p>
      <w:pPr>
        <w:autoSpaceDE w:val="0"/>
        <w:autoSpaceDN w:val="0"/>
        <w:adjustRightInd w:val="0"/>
        <w:spacing w:line="240" w:lineRule="auto"/>
        <w:jc w:val="left"/>
        <w:outlineLvl w:val="0"/>
        <w:rPr>
          <w:rFonts w:hint="eastAsia" w:ascii="华文细黑" w:hAnsi="华文细黑" w:eastAsia="华文细黑" w:cs="华文细黑"/>
          <w:b/>
          <w:sz w:val="28"/>
          <w:szCs w:val="28"/>
          <w:shd w:val="clear" w:color="auto" w:fill="FFFFFF"/>
        </w:rPr>
      </w:pPr>
      <w:bookmarkStart w:id="38" w:name="_Toc29056_WPSOffice_Level2"/>
      <w:r>
        <w:rPr>
          <w:rFonts w:hint="eastAsia" w:ascii="华文细黑" w:hAnsi="华文细黑" w:eastAsia="华文细黑" w:cs="华文细黑"/>
          <w:b/>
          <w:sz w:val="28"/>
          <w:szCs w:val="28"/>
          <w:shd w:val="clear" w:color="auto" w:fill="FFFFFF"/>
          <w:lang w:val="en-US" w:eastAsia="zh-CN"/>
        </w:rPr>
        <w:t>1.</w:t>
      </w:r>
      <w:r>
        <w:rPr>
          <w:rFonts w:hint="eastAsia" w:ascii="华文细黑" w:hAnsi="华文细黑" w:eastAsia="华文细黑" w:cs="华文细黑"/>
          <w:b/>
          <w:sz w:val="28"/>
          <w:szCs w:val="28"/>
          <w:shd w:val="clear" w:color="auto" w:fill="FFFFFF"/>
        </w:rPr>
        <w:t>参展商证、布撤展及出馆条办理</w:t>
      </w:r>
      <w:bookmarkEnd w:id="38"/>
    </w:p>
    <w:p>
      <w:pPr>
        <w:autoSpaceDE w:val="0"/>
        <w:autoSpaceDN w:val="0"/>
        <w:adjustRightInd w:val="0"/>
        <w:spacing w:line="240" w:lineRule="auto"/>
        <w:ind w:left="1920" w:hanging="1920" w:hangingChars="8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1.1 布撤展证（施工证）使用期限：</w:t>
      </w:r>
    </w:p>
    <w:p>
      <w:pPr>
        <w:autoSpaceDE w:val="0"/>
        <w:autoSpaceDN w:val="0"/>
        <w:adjustRightInd w:val="0"/>
        <w:spacing w:line="240" w:lineRule="auto"/>
        <w:ind w:left="1920" w:hanging="1920" w:hangingChars="800"/>
        <w:jc w:val="left"/>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rPr>
        <w:t xml:space="preserve">  </w:t>
      </w:r>
      <w:r>
        <w:rPr>
          <w:rFonts w:hint="eastAsia" w:ascii="华文细黑" w:hAnsi="华文细黑" w:eastAsia="华文细黑" w:cs="华文细黑"/>
          <w:sz w:val="24"/>
          <w:szCs w:val="24"/>
          <w:highlight w:val="none"/>
        </w:rPr>
        <w:t xml:space="preserve">  布展： 201</w:t>
      </w:r>
      <w:r>
        <w:rPr>
          <w:rFonts w:hint="eastAsia" w:ascii="华文细黑" w:hAnsi="华文细黑" w:eastAsia="华文细黑" w:cs="华文细黑"/>
          <w:sz w:val="24"/>
          <w:szCs w:val="24"/>
          <w:highlight w:val="none"/>
          <w:lang w:val="en-US" w:eastAsia="zh-CN"/>
        </w:rPr>
        <w:t>9</w:t>
      </w:r>
      <w:r>
        <w:rPr>
          <w:rFonts w:hint="eastAsia" w:ascii="华文细黑" w:hAnsi="华文细黑" w:eastAsia="华文细黑" w:cs="华文细黑"/>
          <w:sz w:val="24"/>
          <w:szCs w:val="24"/>
          <w:highlight w:val="none"/>
        </w:rPr>
        <w:t>年1</w:t>
      </w:r>
      <w:r>
        <w:rPr>
          <w:rFonts w:hint="eastAsia" w:ascii="华文细黑" w:hAnsi="华文细黑" w:eastAsia="华文细黑" w:cs="华文细黑"/>
          <w:sz w:val="24"/>
          <w:szCs w:val="24"/>
          <w:highlight w:val="none"/>
          <w:lang w:val="en-US" w:eastAsia="zh-CN"/>
        </w:rPr>
        <w:t>1</w:t>
      </w:r>
      <w:r>
        <w:rPr>
          <w:rFonts w:hint="eastAsia" w:ascii="华文细黑" w:hAnsi="华文细黑" w:eastAsia="华文细黑" w:cs="华文细黑"/>
          <w:sz w:val="24"/>
          <w:szCs w:val="24"/>
          <w:highlight w:val="none"/>
        </w:rPr>
        <w:t>月</w:t>
      </w:r>
      <w:r>
        <w:rPr>
          <w:rFonts w:hint="eastAsia" w:ascii="华文细黑" w:hAnsi="华文细黑" w:eastAsia="华文细黑" w:cs="华文细黑"/>
          <w:sz w:val="24"/>
          <w:szCs w:val="24"/>
          <w:highlight w:val="none"/>
          <w:lang w:val="en-US" w:eastAsia="zh-CN"/>
        </w:rPr>
        <w:t>20</w:t>
      </w:r>
      <w:r>
        <w:rPr>
          <w:rFonts w:hint="eastAsia" w:ascii="华文细黑" w:hAnsi="华文细黑" w:eastAsia="华文细黑" w:cs="华文细黑"/>
          <w:sz w:val="24"/>
          <w:szCs w:val="24"/>
          <w:highlight w:val="none"/>
        </w:rPr>
        <w:t>日—</w:t>
      </w:r>
      <w:r>
        <w:rPr>
          <w:rFonts w:hint="eastAsia" w:ascii="华文细黑" w:hAnsi="华文细黑" w:eastAsia="华文细黑" w:cs="华文细黑"/>
          <w:sz w:val="24"/>
          <w:szCs w:val="24"/>
          <w:highlight w:val="none"/>
          <w:lang w:val="en-US" w:eastAsia="zh-CN"/>
        </w:rPr>
        <w:t>11</w:t>
      </w:r>
      <w:r>
        <w:rPr>
          <w:rFonts w:hint="eastAsia" w:ascii="华文细黑" w:hAnsi="华文细黑" w:eastAsia="华文细黑" w:cs="华文细黑"/>
          <w:sz w:val="24"/>
          <w:szCs w:val="24"/>
          <w:highlight w:val="none"/>
        </w:rPr>
        <w:t>月</w:t>
      </w:r>
      <w:r>
        <w:rPr>
          <w:rFonts w:hint="eastAsia" w:ascii="华文细黑" w:hAnsi="华文细黑" w:eastAsia="华文细黑" w:cs="华文细黑"/>
          <w:sz w:val="24"/>
          <w:szCs w:val="24"/>
          <w:highlight w:val="none"/>
          <w:lang w:val="en-US" w:eastAsia="zh-CN"/>
        </w:rPr>
        <w:t>21</w:t>
      </w:r>
      <w:r>
        <w:rPr>
          <w:rFonts w:hint="eastAsia" w:ascii="华文细黑" w:hAnsi="华文细黑" w:eastAsia="华文细黑" w:cs="华文细黑"/>
          <w:sz w:val="24"/>
          <w:szCs w:val="24"/>
          <w:highlight w:val="none"/>
        </w:rPr>
        <w:t xml:space="preserve">日   </w:t>
      </w:r>
    </w:p>
    <w:p>
      <w:pPr>
        <w:autoSpaceDE w:val="0"/>
        <w:autoSpaceDN w:val="0"/>
        <w:adjustRightInd w:val="0"/>
        <w:spacing w:line="240" w:lineRule="auto"/>
        <w:ind w:left="1920" w:hanging="1920" w:hangingChars="800"/>
        <w:jc w:val="left"/>
        <w:rPr>
          <w:rFonts w:hint="eastAsia" w:ascii="华文细黑" w:hAnsi="华文细黑" w:eastAsia="华文细黑" w:cs="华文细黑"/>
          <w:sz w:val="24"/>
          <w:szCs w:val="24"/>
          <w:highlight w:val="yellow"/>
        </w:rPr>
      </w:pPr>
      <w:r>
        <w:rPr>
          <w:rFonts w:hint="eastAsia" w:ascii="华文细黑" w:hAnsi="华文细黑" w:eastAsia="华文细黑" w:cs="华文细黑"/>
          <w:sz w:val="24"/>
          <w:szCs w:val="24"/>
          <w:highlight w:val="none"/>
        </w:rPr>
        <w:t xml:space="preserve">    撤展： 201</w:t>
      </w:r>
      <w:r>
        <w:rPr>
          <w:rFonts w:hint="eastAsia" w:ascii="华文细黑" w:hAnsi="华文细黑" w:eastAsia="华文细黑" w:cs="华文细黑"/>
          <w:sz w:val="24"/>
          <w:szCs w:val="24"/>
          <w:highlight w:val="none"/>
          <w:lang w:val="en-US" w:eastAsia="zh-CN"/>
        </w:rPr>
        <w:t>9</w:t>
      </w:r>
      <w:r>
        <w:rPr>
          <w:rFonts w:hint="eastAsia" w:ascii="华文细黑" w:hAnsi="华文细黑" w:eastAsia="华文细黑" w:cs="华文细黑"/>
          <w:sz w:val="24"/>
          <w:szCs w:val="24"/>
          <w:highlight w:val="none"/>
        </w:rPr>
        <w:t>年</w:t>
      </w:r>
      <w:r>
        <w:rPr>
          <w:rFonts w:hint="eastAsia" w:ascii="华文细黑" w:hAnsi="华文细黑" w:eastAsia="华文细黑" w:cs="华文细黑"/>
          <w:sz w:val="24"/>
          <w:szCs w:val="24"/>
          <w:highlight w:val="none"/>
          <w:lang w:val="en-US" w:eastAsia="zh-CN"/>
        </w:rPr>
        <w:t>11</w:t>
      </w:r>
      <w:r>
        <w:rPr>
          <w:rFonts w:hint="eastAsia" w:ascii="华文细黑" w:hAnsi="华文细黑" w:eastAsia="华文细黑" w:cs="华文细黑"/>
          <w:sz w:val="24"/>
          <w:szCs w:val="24"/>
          <w:highlight w:val="none"/>
        </w:rPr>
        <w:t>月</w:t>
      </w:r>
      <w:r>
        <w:rPr>
          <w:rFonts w:hint="eastAsia" w:ascii="华文细黑" w:hAnsi="华文细黑" w:eastAsia="华文细黑" w:cs="华文细黑"/>
          <w:sz w:val="24"/>
          <w:szCs w:val="24"/>
          <w:highlight w:val="none"/>
          <w:lang w:val="en-US" w:eastAsia="zh-CN"/>
        </w:rPr>
        <w:t>24</w:t>
      </w:r>
      <w:r>
        <w:rPr>
          <w:rFonts w:hint="eastAsia" w:ascii="华文细黑" w:hAnsi="华文细黑" w:eastAsia="华文细黑" w:cs="华文细黑"/>
          <w:sz w:val="24"/>
          <w:szCs w:val="24"/>
          <w:highlight w:val="none"/>
        </w:rPr>
        <w:t xml:space="preserve">日 </w:t>
      </w:r>
      <w:r>
        <w:rPr>
          <w:rFonts w:hint="eastAsia" w:ascii="华文细黑" w:hAnsi="华文细黑" w:eastAsia="华文细黑" w:cs="华文细黑"/>
          <w:sz w:val="24"/>
          <w:szCs w:val="24"/>
          <w:highlight w:val="none"/>
          <w:lang w:val="en-US" w:eastAsia="zh-CN"/>
        </w:rPr>
        <w:t>16</w:t>
      </w:r>
      <w:r>
        <w:rPr>
          <w:rFonts w:hint="eastAsia" w:ascii="华文细黑" w:hAnsi="华文细黑" w:eastAsia="华文细黑" w:cs="华文细黑"/>
          <w:sz w:val="24"/>
          <w:szCs w:val="24"/>
          <w:highlight w:val="none"/>
        </w:rPr>
        <w:t>:00</w:t>
      </w:r>
      <w:r>
        <w:rPr>
          <w:rFonts w:hint="eastAsia" w:ascii="华文细黑" w:hAnsi="华文细黑" w:eastAsia="华文细黑" w:cs="华文细黑"/>
          <w:sz w:val="24"/>
          <w:szCs w:val="24"/>
          <w:highlight w:val="none"/>
          <w:lang w:eastAsia="zh-CN"/>
        </w:rPr>
        <w:t>—</w:t>
      </w:r>
      <w:r>
        <w:rPr>
          <w:rFonts w:hint="eastAsia" w:ascii="华文细黑" w:hAnsi="华文细黑" w:eastAsia="华文细黑" w:cs="华文细黑"/>
          <w:sz w:val="24"/>
          <w:szCs w:val="24"/>
          <w:highlight w:val="none"/>
        </w:rPr>
        <w:t>撤展结束。</w:t>
      </w:r>
    </w:p>
    <w:p>
      <w:pPr>
        <w:numPr>
          <w:ilvl w:val="0"/>
          <w:numId w:val="0"/>
        </w:numPr>
        <w:tabs>
          <w:tab w:val="left" w:pos="840"/>
        </w:tabs>
        <w:autoSpaceDE w:val="0"/>
        <w:autoSpaceDN w:val="0"/>
        <w:adjustRightInd w:val="0"/>
        <w:spacing w:line="240" w:lineRule="auto"/>
        <w:ind w:left="480" w:leftChars="0" w:firstLine="480" w:firstLineChars="2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主场</w:t>
      </w:r>
      <w:r>
        <w:rPr>
          <w:rFonts w:hint="eastAsia" w:ascii="华文细黑" w:hAnsi="华文细黑" w:eastAsia="华文细黑" w:cs="华文细黑"/>
          <w:sz w:val="24"/>
          <w:szCs w:val="24"/>
          <w:lang w:val="en-US" w:eastAsia="zh-CN"/>
        </w:rPr>
        <w:t>服务</w:t>
      </w:r>
      <w:r>
        <w:rPr>
          <w:rFonts w:hint="eastAsia" w:ascii="华文细黑" w:hAnsi="华文细黑" w:eastAsia="华文细黑" w:cs="华文细黑"/>
          <w:sz w:val="24"/>
          <w:szCs w:val="24"/>
        </w:rPr>
        <w:t>商有偿提供施工证给施工单位使用。请搭建方于</w:t>
      </w:r>
      <w:r>
        <w:rPr>
          <w:rFonts w:hint="eastAsia" w:ascii="华文细黑" w:hAnsi="华文细黑" w:eastAsia="华文细黑" w:cs="华文细黑"/>
          <w:sz w:val="24"/>
          <w:szCs w:val="24"/>
          <w:lang w:val="en-US" w:eastAsia="zh-CN"/>
        </w:rPr>
        <w:t>10</w:t>
      </w:r>
      <w:r>
        <w:rPr>
          <w:rFonts w:hint="eastAsia" w:ascii="华文细黑" w:hAnsi="华文细黑" w:eastAsia="华文细黑" w:cs="华文细黑"/>
          <w:sz w:val="24"/>
          <w:szCs w:val="24"/>
        </w:rPr>
        <w:t>月</w:t>
      </w:r>
      <w:r>
        <w:rPr>
          <w:rFonts w:hint="eastAsia" w:ascii="华文细黑" w:hAnsi="华文细黑" w:eastAsia="华文细黑" w:cs="华文细黑"/>
          <w:sz w:val="24"/>
          <w:szCs w:val="24"/>
          <w:lang w:val="en-US" w:eastAsia="zh-CN"/>
        </w:rPr>
        <w:t>25</w:t>
      </w:r>
      <w:r>
        <w:rPr>
          <w:rFonts w:hint="eastAsia" w:ascii="华文细黑" w:hAnsi="华文细黑" w:eastAsia="华文细黑" w:cs="华文细黑"/>
          <w:sz w:val="24"/>
          <w:szCs w:val="24"/>
        </w:rPr>
        <w:t>日前</w:t>
      </w:r>
      <w:r>
        <w:rPr>
          <w:rFonts w:hint="eastAsia" w:ascii="华文细黑" w:hAnsi="华文细黑" w:eastAsia="华文细黑" w:cs="华文细黑"/>
          <w:sz w:val="24"/>
          <w:szCs w:val="24"/>
          <w:lang w:eastAsia="zh-CN"/>
        </w:rPr>
        <w:t>联系</w:t>
      </w:r>
      <w:r>
        <w:rPr>
          <w:rFonts w:hint="eastAsia" w:ascii="华文细黑" w:hAnsi="华文细黑" w:eastAsia="华文细黑" w:cs="华文细黑"/>
          <w:color w:val="0000FF"/>
          <w:sz w:val="24"/>
          <w:szCs w:val="24"/>
        </w:rPr>
        <w:t>2019第三届中国（厦门）国际绿色建筑产业博览会福建-地坪展组委会</w:t>
      </w:r>
      <w:r>
        <w:rPr>
          <w:rFonts w:hint="eastAsia" w:ascii="华文细黑" w:hAnsi="华文细黑" w:eastAsia="华文细黑" w:cs="华文细黑"/>
          <w:sz w:val="24"/>
          <w:szCs w:val="24"/>
        </w:rPr>
        <w:t>进行申请并支付费用，凭缴费通知书现场领</w:t>
      </w:r>
      <w:r>
        <w:rPr>
          <w:rFonts w:hint="eastAsia" w:ascii="华文细黑" w:hAnsi="华文细黑" w:eastAsia="华文细黑" w:cs="华文细黑"/>
          <w:sz w:val="24"/>
          <w:szCs w:val="24"/>
          <w:lang w:val="en-US" w:eastAsia="zh-CN"/>
        </w:rPr>
        <w:t>取</w:t>
      </w:r>
      <w:r>
        <w:rPr>
          <w:rFonts w:hint="eastAsia" w:ascii="华文细黑" w:hAnsi="华文细黑" w:eastAsia="华文细黑" w:cs="华文细黑"/>
          <w:sz w:val="24"/>
          <w:szCs w:val="24"/>
        </w:rPr>
        <w:t xml:space="preserve">证件。“施工证”供特装单位人员在展会布、撤展期间使用，请妥善保管。开展期间该证件无效。 </w:t>
      </w:r>
    </w:p>
    <w:p>
      <w:pPr>
        <w:autoSpaceDE w:val="0"/>
        <w:autoSpaceDN w:val="0"/>
        <w:adjustRightInd w:val="0"/>
        <w:spacing w:line="240" w:lineRule="auto"/>
        <w:ind w:left="730" w:hanging="729" w:hangingChars="304"/>
        <w:jc w:val="left"/>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rPr>
        <w:t>1.2 参展商证：</w:t>
      </w:r>
      <w:r>
        <w:rPr>
          <w:rFonts w:hint="eastAsia" w:ascii="华文细黑" w:hAnsi="华文细黑" w:eastAsia="华文细黑" w:cs="华文细黑"/>
          <w:sz w:val="24"/>
          <w:szCs w:val="24"/>
          <w:highlight w:val="none"/>
        </w:rPr>
        <w:t xml:space="preserve">供各参展商在展会期间进出展馆使用， </w:t>
      </w:r>
      <w:r>
        <w:rPr>
          <w:rFonts w:hint="eastAsia" w:ascii="华文细黑" w:hAnsi="华文细黑" w:eastAsia="华文细黑" w:cs="华文细黑"/>
          <w:color w:val="FF0000"/>
          <w:sz w:val="24"/>
          <w:szCs w:val="24"/>
          <w:highlight w:val="none"/>
        </w:rPr>
        <w:t>一个标准展位配</w:t>
      </w:r>
      <w:r>
        <w:rPr>
          <w:rFonts w:hint="eastAsia" w:ascii="华文细黑" w:hAnsi="华文细黑" w:eastAsia="华文细黑" w:cs="华文细黑"/>
          <w:color w:val="FF0000"/>
          <w:sz w:val="24"/>
          <w:szCs w:val="24"/>
          <w:highlight w:val="none"/>
          <w:lang w:val="en-US" w:eastAsia="zh-CN"/>
        </w:rPr>
        <w:t>3</w:t>
      </w:r>
      <w:r>
        <w:rPr>
          <w:rFonts w:hint="eastAsia" w:ascii="华文细黑" w:hAnsi="华文细黑" w:eastAsia="华文细黑" w:cs="华文细黑"/>
          <w:color w:val="FF0000"/>
          <w:sz w:val="24"/>
          <w:szCs w:val="24"/>
          <w:highlight w:val="none"/>
        </w:rPr>
        <w:t>个参展商证</w:t>
      </w:r>
    </w:p>
    <w:p>
      <w:pPr>
        <w:autoSpaceDE w:val="0"/>
        <w:autoSpaceDN w:val="0"/>
        <w:adjustRightInd w:val="0"/>
        <w:spacing w:line="240" w:lineRule="auto"/>
        <w:ind w:left="730" w:hanging="729" w:hangingChars="304"/>
        <w:jc w:val="left"/>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highlight w:val="none"/>
        </w:rPr>
        <w:t xml:space="preserve">    (如确有需要，可酌情增加)。</w:t>
      </w:r>
    </w:p>
    <w:p>
      <w:pPr>
        <w:numPr>
          <w:ilvl w:val="0"/>
          <w:numId w:val="2"/>
        </w:numPr>
        <w:autoSpaceDE w:val="0"/>
        <w:autoSpaceDN w:val="0"/>
        <w:adjustRightInd w:val="0"/>
        <w:spacing w:line="240" w:lineRule="auto"/>
        <w:ind w:left="480" w:leftChars="0" w:firstLine="0" w:firstLineChars="0"/>
        <w:jc w:val="left"/>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highlight w:val="none"/>
        </w:rPr>
        <w:t>参展商证使用期限：201</w:t>
      </w:r>
      <w:r>
        <w:rPr>
          <w:rFonts w:hint="eastAsia" w:ascii="华文细黑" w:hAnsi="华文细黑" w:eastAsia="华文细黑" w:cs="华文细黑"/>
          <w:sz w:val="24"/>
          <w:szCs w:val="24"/>
          <w:highlight w:val="none"/>
          <w:lang w:val="en-US" w:eastAsia="zh-CN"/>
        </w:rPr>
        <w:t>9</w:t>
      </w:r>
      <w:r>
        <w:rPr>
          <w:rFonts w:hint="eastAsia" w:ascii="华文细黑" w:hAnsi="华文细黑" w:eastAsia="华文细黑" w:cs="华文细黑"/>
          <w:sz w:val="24"/>
          <w:szCs w:val="24"/>
          <w:highlight w:val="none"/>
        </w:rPr>
        <w:t>年1</w:t>
      </w:r>
      <w:r>
        <w:rPr>
          <w:rFonts w:hint="eastAsia" w:ascii="华文细黑" w:hAnsi="华文细黑" w:eastAsia="华文细黑" w:cs="华文细黑"/>
          <w:sz w:val="24"/>
          <w:szCs w:val="24"/>
          <w:highlight w:val="none"/>
          <w:lang w:val="en-US" w:eastAsia="zh-CN"/>
        </w:rPr>
        <w:t>1</w:t>
      </w:r>
      <w:r>
        <w:rPr>
          <w:rFonts w:hint="eastAsia" w:ascii="华文细黑" w:hAnsi="华文细黑" w:eastAsia="华文细黑" w:cs="华文细黑"/>
          <w:sz w:val="24"/>
          <w:szCs w:val="24"/>
          <w:highlight w:val="none"/>
        </w:rPr>
        <w:t>月</w:t>
      </w:r>
      <w:r>
        <w:rPr>
          <w:rFonts w:hint="eastAsia" w:ascii="华文细黑" w:hAnsi="华文细黑" w:eastAsia="华文细黑" w:cs="华文细黑"/>
          <w:sz w:val="24"/>
          <w:szCs w:val="24"/>
          <w:highlight w:val="none"/>
          <w:lang w:val="en-US" w:eastAsia="zh-CN"/>
        </w:rPr>
        <w:t>22-24</w:t>
      </w:r>
      <w:r>
        <w:rPr>
          <w:rFonts w:hint="eastAsia" w:ascii="华文细黑" w:hAnsi="华文细黑" w:eastAsia="华文细黑" w:cs="华文细黑"/>
          <w:sz w:val="24"/>
          <w:szCs w:val="24"/>
          <w:highlight w:val="none"/>
        </w:rPr>
        <w:t>日</w:t>
      </w:r>
      <w:r>
        <w:rPr>
          <w:rFonts w:hint="eastAsia" w:ascii="华文细黑" w:hAnsi="华文细黑" w:eastAsia="华文细黑" w:cs="华文细黑"/>
          <w:sz w:val="24"/>
          <w:szCs w:val="24"/>
          <w:highlight w:val="none"/>
          <w:lang w:val="en-US" w:eastAsia="zh-CN"/>
        </w:rPr>
        <w:t>8:3</w:t>
      </w:r>
      <w:r>
        <w:rPr>
          <w:rFonts w:hint="eastAsia" w:ascii="华文细黑" w:hAnsi="华文细黑" w:eastAsia="华文细黑" w:cs="华文细黑"/>
          <w:sz w:val="24"/>
          <w:szCs w:val="24"/>
          <w:highlight w:val="none"/>
        </w:rPr>
        <w:t>0—</w:t>
      </w:r>
      <w:r>
        <w:rPr>
          <w:rFonts w:hint="eastAsia" w:ascii="华文细黑" w:hAnsi="华文细黑" w:eastAsia="华文细黑" w:cs="华文细黑"/>
          <w:sz w:val="24"/>
          <w:szCs w:val="24"/>
          <w:highlight w:val="none"/>
          <w:lang w:val="en-US" w:eastAsia="zh-CN"/>
        </w:rPr>
        <w:t>17</w:t>
      </w:r>
      <w:r>
        <w:rPr>
          <w:rFonts w:hint="eastAsia" w:ascii="华文细黑" w:hAnsi="华文细黑" w:eastAsia="华文细黑" w:cs="华文细黑"/>
          <w:sz w:val="24"/>
          <w:szCs w:val="24"/>
          <w:highlight w:val="none"/>
        </w:rPr>
        <w:t>:</w:t>
      </w:r>
      <w:r>
        <w:rPr>
          <w:rFonts w:hint="eastAsia" w:ascii="华文细黑" w:hAnsi="华文细黑" w:eastAsia="华文细黑" w:cs="华文细黑"/>
          <w:sz w:val="24"/>
          <w:szCs w:val="24"/>
          <w:highlight w:val="none"/>
          <w:lang w:val="en-US" w:eastAsia="zh-CN"/>
        </w:rPr>
        <w:t>0</w:t>
      </w:r>
      <w:r>
        <w:rPr>
          <w:rFonts w:hint="eastAsia" w:ascii="华文细黑" w:hAnsi="华文细黑" w:eastAsia="华文细黑" w:cs="华文细黑"/>
          <w:sz w:val="24"/>
          <w:szCs w:val="24"/>
          <w:highlight w:val="none"/>
        </w:rPr>
        <w:t>0</w:t>
      </w:r>
      <w:r>
        <w:rPr>
          <w:rFonts w:hint="eastAsia" w:ascii="华文细黑" w:hAnsi="华文细黑" w:eastAsia="华文细黑" w:cs="华文细黑"/>
          <w:sz w:val="24"/>
          <w:szCs w:val="24"/>
          <w:highlight w:val="none"/>
          <w:lang w:eastAsia="zh-CN"/>
        </w:rPr>
        <w:t>。</w:t>
      </w:r>
    </w:p>
    <w:p>
      <w:pPr>
        <w:autoSpaceDE w:val="0"/>
        <w:autoSpaceDN w:val="0"/>
        <w:adjustRightInd w:val="0"/>
        <w:spacing w:line="240" w:lineRule="auto"/>
        <w:ind w:left="1920" w:hanging="1920" w:hangingChars="800"/>
        <w:jc w:val="left"/>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highlight w:val="none"/>
        </w:rPr>
        <w:t xml:space="preserve">    2）办证所需资料</w:t>
      </w:r>
    </w:p>
    <w:p>
      <w:pPr>
        <w:numPr>
          <w:ilvl w:val="0"/>
          <w:numId w:val="3"/>
        </w:numPr>
        <w:autoSpaceDE w:val="0"/>
        <w:autoSpaceDN w:val="0"/>
        <w:adjustRightInd w:val="0"/>
        <w:spacing w:line="240" w:lineRule="auto"/>
        <w:jc w:val="left"/>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highlight w:val="none"/>
        </w:rPr>
        <w:t>参展单位的三张名片；</w:t>
      </w:r>
    </w:p>
    <w:p>
      <w:pPr>
        <w:numPr>
          <w:ilvl w:val="0"/>
          <w:numId w:val="3"/>
        </w:numPr>
        <w:autoSpaceDE w:val="0"/>
        <w:autoSpaceDN w:val="0"/>
        <w:adjustRightInd w:val="0"/>
        <w:spacing w:line="240" w:lineRule="auto"/>
        <w:jc w:val="left"/>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highlight w:val="none"/>
        </w:rPr>
        <w:t>缴齐全部展位费用的凭证或收据；</w:t>
      </w:r>
    </w:p>
    <w:p>
      <w:pPr>
        <w:autoSpaceDE w:val="0"/>
        <w:autoSpaceDN w:val="0"/>
        <w:adjustRightInd w:val="0"/>
        <w:spacing w:line="240" w:lineRule="auto"/>
        <w:ind w:firstLine="360" w:firstLineChars="150"/>
        <w:jc w:val="left"/>
        <w:rPr>
          <w:rFonts w:hint="eastAsia" w:ascii="华文细黑" w:hAnsi="华文细黑" w:eastAsia="华文细黑" w:cs="华文细黑"/>
          <w:color w:val="548DD4"/>
          <w:sz w:val="22"/>
        </w:rPr>
      </w:pPr>
      <w:r>
        <w:rPr>
          <w:rFonts w:hint="eastAsia" w:ascii="华文细黑" w:hAnsi="华文细黑" w:eastAsia="华文细黑" w:cs="华文细黑"/>
          <w:sz w:val="24"/>
          <w:szCs w:val="24"/>
        </w:rPr>
        <w:t xml:space="preserve"> 3）办理地点</w:t>
      </w:r>
      <w:r>
        <w:rPr>
          <w:rFonts w:hint="eastAsia" w:ascii="华文细黑" w:hAnsi="华文细黑" w:eastAsia="华文细黑" w:cs="华文细黑"/>
          <w:sz w:val="24"/>
          <w:szCs w:val="24"/>
          <w:lang w:eastAsia="zh-CN"/>
        </w:rPr>
        <w:t>：</w:t>
      </w:r>
      <w:r>
        <w:rPr>
          <w:rFonts w:hint="eastAsia" w:ascii="华文细黑" w:hAnsi="华文细黑" w:eastAsia="华文细黑" w:cs="华文细黑"/>
          <w:color w:val="FF0000"/>
          <w:sz w:val="24"/>
          <w:szCs w:val="24"/>
          <w:highlight w:val="none"/>
          <w:lang w:val="en-US" w:eastAsia="zh-CN"/>
        </w:rPr>
        <w:t>11</w:t>
      </w:r>
      <w:r>
        <w:rPr>
          <w:rFonts w:hint="eastAsia" w:ascii="华文细黑" w:hAnsi="华文细黑" w:eastAsia="华文细黑" w:cs="华文细黑"/>
          <w:color w:val="FF0000"/>
          <w:sz w:val="24"/>
          <w:szCs w:val="24"/>
          <w:highlight w:val="none"/>
        </w:rPr>
        <w:t>月</w:t>
      </w:r>
      <w:r>
        <w:rPr>
          <w:rFonts w:hint="eastAsia" w:ascii="华文细黑" w:hAnsi="华文细黑" w:eastAsia="华文细黑" w:cs="华文细黑"/>
          <w:color w:val="FF0000"/>
          <w:sz w:val="24"/>
          <w:szCs w:val="24"/>
          <w:highlight w:val="none"/>
          <w:lang w:val="en-US" w:eastAsia="zh-CN"/>
        </w:rPr>
        <w:t>21</w:t>
      </w:r>
      <w:r>
        <w:rPr>
          <w:rFonts w:hint="eastAsia" w:ascii="华文细黑" w:hAnsi="华文细黑" w:eastAsia="华文细黑" w:cs="华文细黑"/>
          <w:color w:val="FF0000"/>
          <w:sz w:val="24"/>
          <w:szCs w:val="24"/>
          <w:highlight w:val="none"/>
        </w:rPr>
        <w:t>日上午</w:t>
      </w:r>
      <w:r>
        <w:rPr>
          <w:rFonts w:hint="eastAsia" w:ascii="华文细黑" w:hAnsi="华文细黑" w:eastAsia="华文细黑" w:cs="华文细黑"/>
          <w:color w:val="FF0000"/>
          <w:sz w:val="24"/>
          <w:szCs w:val="24"/>
          <w:highlight w:val="none"/>
          <w:lang w:val="en-US" w:eastAsia="zh-CN"/>
        </w:rPr>
        <w:t>9</w:t>
      </w:r>
      <w:r>
        <w:rPr>
          <w:rFonts w:hint="eastAsia" w:ascii="华文细黑" w:hAnsi="华文细黑" w:eastAsia="华文细黑" w:cs="华文细黑"/>
          <w:color w:val="FF0000"/>
          <w:sz w:val="24"/>
          <w:szCs w:val="24"/>
          <w:highlight w:val="none"/>
        </w:rPr>
        <w:t>点起</w:t>
      </w:r>
      <w:r>
        <w:rPr>
          <w:rFonts w:hint="eastAsia" w:ascii="华文细黑" w:hAnsi="华文细黑" w:eastAsia="华文细黑" w:cs="华文细黑"/>
          <w:color w:val="FF0000"/>
          <w:sz w:val="24"/>
          <w:szCs w:val="24"/>
        </w:rPr>
        <w:t>到</w:t>
      </w:r>
      <w:r>
        <w:rPr>
          <w:rFonts w:hint="eastAsia" w:ascii="华文细黑" w:hAnsi="华文细黑" w:eastAsia="华文细黑" w:cs="华文细黑"/>
          <w:color w:val="FF0000"/>
          <w:sz w:val="24"/>
          <w:szCs w:val="24"/>
          <w:lang w:val="en-US" w:eastAsia="zh-CN"/>
        </w:rPr>
        <w:t>A4厅</w:t>
      </w:r>
      <w:r>
        <w:rPr>
          <w:rFonts w:hint="eastAsia" w:ascii="华文细黑" w:hAnsi="华文细黑" w:eastAsia="华文细黑" w:cs="华文细黑"/>
          <w:color w:val="FF0000"/>
          <w:sz w:val="24"/>
          <w:szCs w:val="24"/>
        </w:rPr>
        <w:t>“</w:t>
      </w:r>
      <w:r>
        <w:rPr>
          <w:rFonts w:hint="eastAsia" w:ascii="华文细黑" w:hAnsi="华文细黑" w:eastAsia="华文细黑" w:cs="华文细黑"/>
          <w:color w:val="FF0000"/>
          <w:sz w:val="24"/>
          <w:szCs w:val="24"/>
          <w:lang w:val="en-US" w:eastAsia="zh-CN"/>
        </w:rPr>
        <w:t>参</w:t>
      </w:r>
      <w:r>
        <w:rPr>
          <w:rFonts w:hint="eastAsia" w:ascii="华文细黑" w:hAnsi="华文细黑" w:eastAsia="华文细黑" w:cs="华文细黑"/>
          <w:color w:val="FF0000"/>
          <w:sz w:val="24"/>
          <w:szCs w:val="24"/>
        </w:rPr>
        <w:t>展商服务处”办理</w:t>
      </w:r>
      <w:r>
        <w:rPr>
          <w:rFonts w:hint="eastAsia" w:ascii="华文细黑" w:hAnsi="华文细黑" w:eastAsia="华文细黑" w:cs="华文细黑"/>
          <w:sz w:val="24"/>
          <w:szCs w:val="24"/>
        </w:rPr>
        <w:br w:type="textWrapping"/>
      </w:r>
      <w:r>
        <w:rPr>
          <w:rFonts w:hint="eastAsia" w:ascii="华文细黑" w:hAnsi="华文细黑" w:eastAsia="华文细黑" w:cs="华文细黑"/>
          <w:sz w:val="24"/>
          <w:szCs w:val="24"/>
        </w:rPr>
        <w:t>1.3 出馆条：</w:t>
      </w:r>
      <w:r>
        <w:rPr>
          <w:rFonts w:hint="eastAsia" w:ascii="华文细黑" w:hAnsi="华文细黑" w:eastAsia="华文细黑" w:cs="华文细黑"/>
          <w:sz w:val="24"/>
          <w:szCs w:val="24"/>
          <w:highlight w:val="none"/>
          <w:lang w:val="en-US" w:eastAsia="zh-CN"/>
        </w:rPr>
        <w:t>11</w:t>
      </w:r>
      <w:r>
        <w:rPr>
          <w:rFonts w:hint="eastAsia" w:ascii="华文细黑" w:hAnsi="华文细黑" w:eastAsia="华文细黑" w:cs="华文细黑"/>
          <w:sz w:val="24"/>
          <w:szCs w:val="24"/>
          <w:highlight w:val="none"/>
        </w:rPr>
        <w:t>月</w:t>
      </w:r>
      <w:r>
        <w:rPr>
          <w:rFonts w:hint="eastAsia" w:ascii="华文细黑" w:hAnsi="华文细黑" w:eastAsia="华文细黑" w:cs="华文细黑"/>
          <w:sz w:val="24"/>
          <w:szCs w:val="24"/>
          <w:highlight w:val="none"/>
          <w:lang w:val="en-US" w:eastAsia="zh-CN"/>
        </w:rPr>
        <w:t>24</w:t>
      </w:r>
      <w:r>
        <w:rPr>
          <w:rFonts w:hint="eastAsia" w:ascii="华文细黑" w:hAnsi="华文细黑" w:eastAsia="华文细黑" w:cs="华文细黑"/>
          <w:sz w:val="24"/>
          <w:szCs w:val="24"/>
          <w:highlight w:val="none"/>
        </w:rPr>
        <w:t>日上午12:00开始</w:t>
      </w:r>
      <w:r>
        <w:rPr>
          <w:rFonts w:hint="eastAsia" w:ascii="华文细黑" w:hAnsi="华文细黑" w:eastAsia="华文细黑" w:cs="华文细黑"/>
          <w:sz w:val="24"/>
          <w:szCs w:val="24"/>
        </w:rPr>
        <w:t>，到</w:t>
      </w:r>
      <w:r>
        <w:rPr>
          <w:rFonts w:hint="eastAsia" w:ascii="华文细黑" w:hAnsi="华文细黑" w:eastAsia="华文细黑" w:cs="华文细黑"/>
          <w:sz w:val="24"/>
          <w:szCs w:val="24"/>
          <w:lang w:val="en-US" w:eastAsia="zh-CN"/>
        </w:rPr>
        <w:t>B1</w:t>
      </w:r>
      <w:r>
        <w:rPr>
          <w:rFonts w:hint="eastAsia" w:ascii="华文细黑" w:hAnsi="华文细黑" w:eastAsia="华文细黑" w:cs="华文细黑"/>
          <w:sz w:val="24"/>
          <w:szCs w:val="24"/>
        </w:rPr>
        <w:t>厅“主场服务处”领取，凭出馆条才可从展馆内运出或拿出展品。</w:t>
      </w:r>
      <w:r>
        <w:rPr>
          <w:rFonts w:hint="eastAsia" w:ascii="华文细黑" w:hAnsi="华文细黑" w:eastAsia="华文细黑" w:cs="华文细黑"/>
          <w:sz w:val="24"/>
          <w:szCs w:val="24"/>
        </w:rPr>
        <w:br w:type="textWrapping"/>
      </w:r>
      <w:r>
        <w:rPr>
          <w:rFonts w:hint="eastAsia" w:ascii="华文细黑" w:hAnsi="华文细黑" w:eastAsia="华文细黑" w:cs="华文细黑"/>
          <w:b/>
          <w:sz w:val="24"/>
          <w:szCs w:val="24"/>
        </w:rPr>
        <w:t xml:space="preserve">注：持有嘉宾证、参展商证的展商可在布撤展期间进出展馆使用，此类证件为一人一证，一经使用不可转让及修改。 </w:t>
      </w:r>
    </w:p>
    <w:p>
      <w:pPr>
        <w:numPr>
          <w:ilvl w:val="0"/>
          <w:numId w:val="0"/>
        </w:numPr>
        <w:autoSpaceDE w:val="0"/>
        <w:autoSpaceDN w:val="0"/>
        <w:adjustRightInd w:val="0"/>
        <w:spacing w:line="240" w:lineRule="auto"/>
        <w:jc w:val="left"/>
        <w:outlineLvl w:val="0"/>
        <w:rPr>
          <w:rFonts w:hint="eastAsia" w:ascii="华文细黑" w:hAnsi="华文细黑" w:eastAsia="华文细黑" w:cs="华文细黑"/>
          <w:b/>
          <w:sz w:val="28"/>
          <w:szCs w:val="28"/>
          <w:shd w:val="clear" w:color="auto" w:fill="FFFFFF"/>
        </w:rPr>
      </w:pPr>
      <w:bookmarkStart w:id="39" w:name="_Toc16868_WPSOffice_Level2"/>
      <w:r>
        <w:rPr>
          <w:rFonts w:hint="eastAsia" w:ascii="华文细黑" w:hAnsi="华文细黑" w:eastAsia="华文细黑" w:cs="华文细黑"/>
          <w:b/>
          <w:sz w:val="28"/>
          <w:szCs w:val="28"/>
          <w:shd w:val="clear" w:color="auto" w:fill="FFFFFF"/>
          <w:lang w:val="en-US" w:eastAsia="zh-CN"/>
        </w:rPr>
        <w:t>2.</w:t>
      </w:r>
      <w:r>
        <w:rPr>
          <w:rFonts w:hint="eastAsia" w:ascii="华文细黑" w:hAnsi="华文细黑" w:eastAsia="华文细黑" w:cs="华文细黑"/>
          <w:b/>
          <w:sz w:val="28"/>
          <w:szCs w:val="28"/>
          <w:shd w:val="clear" w:color="auto" w:fill="FFFFFF"/>
        </w:rPr>
        <w:t>特装图纸申报所需材料</w:t>
      </w:r>
      <w:bookmarkEnd w:id="39"/>
    </w:p>
    <w:p>
      <w:pPr>
        <w:autoSpaceDE w:val="0"/>
        <w:autoSpaceDN w:val="0"/>
        <w:adjustRightInd w:val="0"/>
        <w:spacing w:line="240" w:lineRule="auto"/>
        <w:jc w:val="left"/>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 xml:space="preserve">2.1搭建单位资质要求 </w:t>
      </w:r>
    </w:p>
    <w:p>
      <w:pPr>
        <w:numPr>
          <w:ilvl w:val="0"/>
          <w:numId w:val="4"/>
        </w:numPr>
        <w:autoSpaceDE w:val="0"/>
        <w:autoSpaceDN w:val="0"/>
        <w:adjustRightInd w:val="0"/>
        <w:spacing w:line="240" w:lineRule="auto"/>
        <w:jc w:val="left"/>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 xml:space="preserve">注册资金在人民币50万元以上（含50万元）。 </w:t>
      </w:r>
    </w:p>
    <w:p>
      <w:pPr>
        <w:numPr>
          <w:ilvl w:val="0"/>
          <w:numId w:val="4"/>
        </w:numPr>
        <w:autoSpaceDE w:val="0"/>
        <w:autoSpaceDN w:val="0"/>
        <w:adjustRightInd w:val="0"/>
        <w:spacing w:line="240" w:lineRule="auto"/>
        <w:jc w:val="left"/>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具有从事大型展览</w:t>
      </w:r>
      <w:r>
        <w:rPr>
          <w:rStyle w:val="76"/>
          <w:rFonts w:hint="eastAsia" w:ascii="华文细黑" w:hAnsi="华文细黑" w:eastAsia="华文细黑" w:cs="华文细黑"/>
          <w:color w:val="auto"/>
          <w:sz w:val="24"/>
          <w:szCs w:val="24"/>
        </w:rPr>
        <w:t>特装</w:t>
      </w:r>
      <w:r>
        <w:rPr>
          <w:rStyle w:val="65"/>
          <w:rFonts w:hint="eastAsia" w:ascii="华文细黑" w:hAnsi="华文细黑" w:eastAsia="华文细黑" w:cs="华文细黑"/>
          <w:color w:val="auto"/>
          <w:sz w:val="24"/>
          <w:szCs w:val="24"/>
        </w:rPr>
        <w:t xml:space="preserve">施工3年以上的行业经验（须提供相关证明材料）。 </w:t>
      </w:r>
    </w:p>
    <w:p>
      <w:pPr>
        <w:numPr>
          <w:ilvl w:val="0"/>
          <w:numId w:val="4"/>
        </w:numPr>
        <w:autoSpaceDE w:val="0"/>
        <w:autoSpaceDN w:val="0"/>
        <w:adjustRightInd w:val="0"/>
        <w:spacing w:line="240" w:lineRule="auto"/>
        <w:jc w:val="left"/>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业务范围包括展览展示设计制作。</w:t>
      </w:r>
    </w:p>
    <w:p>
      <w:pPr>
        <w:numPr>
          <w:ilvl w:val="0"/>
          <w:numId w:val="4"/>
        </w:numPr>
        <w:autoSpaceDE w:val="0"/>
        <w:autoSpaceDN w:val="0"/>
        <w:adjustRightInd w:val="0"/>
        <w:spacing w:line="240" w:lineRule="auto"/>
        <w:jc w:val="left"/>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具备独立法人资格、独立承担民事责任的能力。</w:t>
      </w:r>
    </w:p>
    <w:p>
      <w:pPr>
        <w:pStyle w:val="40"/>
        <w:spacing w:line="240" w:lineRule="auto"/>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 xml:space="preserve">2.2 申报时间 </w:t>
      </w:r>
    </w:p>
    <w:p>
      <w:pPr>
        <w:pStyle w:val="40"/>
        <w:spacing w:line="240" w:lineRule="auto"/>
        <w:ind w:firstLine="480" w:firstLineChars="20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所有特装布展单位，请于</w:t>
      </w:r>
      <w:r>
        <w:rPr>
          <w:rStyle w:val="65"/>
          <w:rFonts w:hint="eastAsia" w:ascii="华文细黑" w:hAnsi="华文细黑" w:eastAsia="华文细黑" w:cs="华文细黑"/>
          <w:color w:val="auto"/>
          <w:sz w:val="24"/>
          <w:szCs w:val="24"/>
          <w:highlight w:val="none"/>
        </w:rPr>
        <w:t>201</w:t>
      </w:r>
      <w:r>
        <w:rPr>
          <w:rStyle w:val="65"/>
          <w:rFonts w:hint="eastAsia" w:ascii="华文细黑" w:hAnsi="华文细黑" w:eastAsia="华文细黑" w:cs="华文细黑"/>
          <w:color w:val="auto"/>
          <w:sz w:val="24"/>
          <w:szCs w:val="24"/>
          <w:highlight w:val="none"/>
          <w:lang w:val="en-US" w:eastAsia="zh-CN"/>
        </w:rPr>
        <w:t>9</w:t>
      </w:r>
      <w:r>
        <w:rPr>
          <w:rStyle w:val="65"/>
          <w:rFonts w:hint="eastAsia" w:ascii="华文细黑" w:hAnsi="华文细黑" w:eastAsia="华文细黑" w:cs="华文细黑"/>
          <w:color w:val="auto"/>
          <w:sz w:val="24"/>
          <w:szCs w:val="24"/>
          <w:highlight w:val="none"/>
        </w:rPr>
        <w:t>年1</w:t>
      </w:r>
      <w:r>
        <w:rPr>
          <w:rStyle w:val="65"/>
          <w:rFonts w:hint="eastAsia" w:ascii="华文细黑" w:hAnsi="华文细黑" w:eastAsia="华文细黑" w:cs="华文细黑"/>
          <w:color w:val="auto"/>
          <w:sz w:val="24"/>
          <w:szCs w:val="24"/>
          <w:highlight w:val="none"/>
          <w:lang w:val="en-US" w:eastAsia="zh-CN"/>
        </w:rPr>
        <w:t>0</w:t>
      </w:r>
      <w:r>
        <w:rPr>
          <w:rStyle w:val="65"/>
          <w:rFonts w:hint="eastAsia" w:ascii="华文细黑" w:hAnsi="华文细黑" w:eastAsia="华文细黑" w:cs="华文细黑"/>
          <w:color w:val="auto"/>
          <w:sz w:val="24"/>
          <w:szCs w:val="24"/>
          <w:highlight w:val="none"/>
        </w:rPr>
        <w:t>月</w:t>
      </w:r>
      <w:r>
        <w:rPr>
          <w:rStyle w:val="65"/>
          <w:rFonts w:hint="eastAsia" w:ascii="华文细黑" w:hAnsi="华文细黑" w:eastAsia="华文细黑" w:cs="华文细黑"/>
          <w:color w:val="auto"/>
          <w:sz w:val="24"/>
          <w:szCs w:val="24"/>
          <w:highlight w:val="none"/>
          <w:lang w:val="en-US" w:eastAsia="zh-CN"/>
        </w:rPr>
        <w:t>15</w:t>
      </w:r>
      <w:r>
        <w:rPr>
          <w:rStyle w:val="65"/>
          <w:rFonts w:hint="eastAsia" w:ascii="华文细黑" w:hAnsi="华文细黑" w:eastAsia="华文细黑" w:cs="华文细黑"/>
          <w:color w:val="auto"/>
          <w:sz w:val="24"/>
          <w:szCs w:val="24"/>
          <w:highlight w:val="none"/>
        </w:rPr>
        <w:t>日前</w:t>
      </w:r>
      <w:r>
        <w:rPr>
          <w:rStyle w:val="65"/>
          <w:rFonts w:hint="eastAsia" w:ascii="华文细黑" w:hAnsi="华文细黑" w:eastAsia="华文细黑" w:cs="华文细黑"/>
          <w:color w:val="auto"/>
          <w:sz w:val="24"/>
          <w:szCs w:val="24"/>
        </w:rPr>
        <w:t>将特装布展相关设计图纸资料上传至</w:t>
      </w:r>
      <w:r>
        <w:rPr>
          <w:rStyle w:val="65"/>
          <w:rFonts w:hint="eastAsia" w:ascii="华文细黑" w:hAnsi="华文细黑" w:eastAsia="华文细黑" w:cs="华文细黑"/>
          <w:color w:val="0000FF"/>
          <w:sz w:val="24"/>
          <w:szCs w:val="24"/>
        </w:rPr>
        <w:t>主</w:t>
      </w:r>
      <w:r>
        <w:rPr>
          <w:rStyle w:val="65"/>
          <w:rFonts w:hint="eastAsia" w:ascii="华文细黑" w:hAnsi="华文细黑" w:eastAsia="华文细黑" w:cs="华文细黑"/>
          <w:color w:val="0000FF"/>
          <w:sz w:val="24"/>
          <w:szCs w:val="24"/>
          <w:lang w:eastAsia="zh-CN"/>
        </w:rPr>
        <w:t>办方邮箱（</w:t>
      </w:r>
      <w:r>
        <w:rPr>
          <w:rStyle w:val="65"/>
          <w:rFonts w:hint="eastAsia" w:ascii="华文细黑" w:hAnsi="华文细黑" w:eastAsia="华文细黑" w:cs="华文细黑"/>
          <w:color w:val="0000FF"/>
          <w:sz w:val="24"/>
          <w:szCs w:val="24"/>
          <w:lang w:val="en-US" w:eastAsia="zh-CN"/>
        </w:rPr>
        <w:t>fjfloor@163.com</w:t>
      </w:r>
      <w:r>
        <w:rPr>
          <w:rStyle w:val="65"/>
          <w:rFonts w:hint="eastAsia" w:ascii="华文细黑" w:hAnsi="华文细黑" w:eastAsia="华文细黑" w:cs="华文细黑"/>
          <w:color w:val="0000FF"/>
          <w:sz w:val="24"/>
          <w:szCs w:val="24"/>
          <w:lang w:eastAsia="zh-CN"/>
        </w:rPr>
        <w:t>）</w:t>
      </w:r>
      <w:r>
        <w:rPr>
          <w:rStyle w:val="65"/>
          <w:rFonts w:hint="eastAsia" w:ascii="华文细黑" w:hAnsi="华文细黑" w:eastAsia="华文细黑" w:cs="华文细黑"/>
          <w:color w:val="auto"/>
          <w:sz w:val="24"/>
          <w:szCs w:val="24"/>
          <w:lang w:val="en-US" w:eastAsia="zh-CN"/>
        </w:rPr>
        <w:t>。</w:t>
      </w:r>
      <w:r>
        <w:rPr>
          <w:rStyle w:val="65"/>
          <w:rFonts w:hint="eastAsia" w:ascii="华文细黑" w:hAnsi="华文细黑" w:eastAsia="华文细黑" w:cs="华文细黑"/>
          <w:color w:val="auto"/>
          <w:sz w:val="24"/>
          <w:szCs w:val="24"/>
        </w:rPr>
        <w:t xml:space="preserve">因不按时申报而延误布展，责任自负。 </w:t>
      </w:r>
    </w:p>
    <w:p>
      <w:pPr>
        <w:pStyle w:val="40"/>
        <w:spacing w:line="240" w:lineRule="auto"/>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2.3 需提交的图纸和资料</w:t>
      </w:r>
    </w:p>
    <w:p>
      <w:pPr>
        <w:pStyle w:val="26"/>
        <w:rPr>
          <w:rFonts w:hint="eastAsia"/>
        </w:rPr>
      </w:pPr>
    </w:p>
    <w:tbl>
      <w:tblPr>
        <w:tblStyle w:val="17"/>
        <w:tblW w:w="96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521"/>
        <w:gridCol w:w="5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728"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序号</w:t>
            </w:r>
          </w:p>
        </w:tc>
        <w:tc>
          <w:tcPr>
            <w:tcW w:w="3521"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文件名称</w:t>
            </w:r>
          </w:p>
        </w:tc>
        <w:tc>
          <w:tcPr>
            <w:tcW w:w="5417"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72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w:t>
            </w:r>
          </w:p>
        </w:tc>
        <w:tc>
          <w:tcPr>
            <w:tcW w:w="3521"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参展单位相关资料</w:t>
            </w:r>
          </w:p>
        </w:tc>
        <w:tc>
          <w:tcPr>
            <w:tcW w:w="5417"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营业执照副本复印件（须盖公章）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2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p>
        </w:tc>
        <w:tc>
          <w:tcPr>
            <w:tcW w:w="3521"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搭建单位相关资料</w:t>
            </w:r>
          </w:p>
        </w:tc>
        <w:tc>
          <w:tcPr>
            <w:tcW w:w="5417"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营业执照副本复印件、资质证书复印件（须盖公章）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72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w:t>
            </w:r>
          </w:p>
        </w:tc>
        <w:tc>
          <w:tcPr>
            <w:tcW w:w="3521" w:type="dxa"/>
            <w:noWrap w:val="0"/>
            <w:vAlign w:val="center"/>
          </w:tcPr>
          <w:p>
            <w:pPr>
              <w:spacing w:line="240" w:lineRule="auto"/>
              <w:rPr>
                <w:rFonts w:hint="eastAsia" w:ascii="华文细黑" w:hAnsi="华文细黑" w:eastAsia="华文细黑" w:cs="华文细黑"/>
                <w:sz w:val="24"/>
                <w:szCs w:val="24"/>
              </w:rPr>
            </w:pPr>
            <w:r>
              <w:rPr>
                <w:rStyle w:val="76"/>
                <w:rFonts w:hint="eastAsia" w:ascii="华文细黑" w:hAnsi="华文细黑" w:eastAsia="华文细黑" w:cs="华文细黑"/>
                <w:color w:val="auto"/>
                <w:sz w:val="24"/>
                <w:szCs w:val="24"/>
              </w:rPr>
              <w:t>净地</w:t>
            </w:r>
            <w:r>
              <w:rPr>
                <w:rFonts w:hint="eastAsia" w:ascii="华文细黑" w:hAnsi="华文细黑" w:eastAsia="华文细黑" w:cs="华文细黑"/>
                <w:sz w:val="24"/>
                <w:szCs w:val="24"/>
              </w:rPr>
              <w:t>展位图纸</w:t>
            </w:r>
          </w:p>
        </w:tc>
        <w:tc>
          <w:tcPr>
            <w:tcW w:w="5417"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包括：展位效果图、平面图、立面图、施工图、电路图、施工材质说明图、钢结构图（需标注施工材质型号及连接方式）。要求清晰完整，电路图需标注回路、负载、所用材质的规格及型号等（设计师签名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72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4</w:t>
            </w:r>
          </w:p>
        </w:tc>
        <w:tc>
          <w:tcPr>
            <w:tcW w:w="3521"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其它资料</w:t>
            </w:r>
          </w:p>
        </w:tc>
        <w:tc>
          <w:tcPr>
            <w:tcW w:w="5417"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搭建装饰材料防火等级证书、电气设备（3C认证）标准合格证（须盖公章）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72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w:t>
            </w:r>
          </w:p>
        </w:tc>
        <w:tc>
          <w:tcPr>
            <w:tcW w:w="3521" w:type="dxa"/>
            <w:noWrap w:val="0"/>
            <w:vAlign w:val="center"/>
          </w:tcPr>
          <w:p>
            <w:pPr>
              <w:spacing w:line="240" w:lineRule="auto"/>
              <w:rPr>
                <w:rFonts w:hint="eastAsia" w:ascii="华文细黑" w:hAnsi="华文细黑" w:eastAsia="华文细黑" w:cs="华文细黑"/>
                <w:sz w:val="24"/>
                <w:szCs w:val="24"/>
              </w:rPr>
            </w:pPr>
            <w:r>
              <w:rPr>
                <w:rStyle w:val="76"/>
                <w:rFonts w:hint="eastAsia" w:ascii="华文细黑" w:hAnsi="华文细黑" w:eastAsia="华文细黑" w:cs="华文细黑"/>
                <w:color w:val="auto"/>
                <w:sz w:val="24"/>
                <w:szCs w:val="24"/>
              </w:rPr>
              <w:t>净地</w:t>
            </w:r>
            <w:r>
              <w:rPr>
                <w:rFonts w:hint="eastAsia" w:ascii="华文细黑" w:hAnsi="华文细黑" w:eastAsia="华文细黑" w:cs="华文细黑"/>
                <w:sz w:val="24"/>
                <w:szCs w:val="24"/>
              </w:rPr>
              <w:t>展位搭建委托书</w:t>
            </w:r>
          </w:p>
        </w:tc>
        <w:tc>
          <w:tcPr>
            <w:tcW w:w="5417"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参展单位出具的搭建委托书，须加盖参展单位公章，详见第六部分附件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72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6</w:t>
            </w:r>
          </w:p>
        </w:tc>
        <w:tc>
          <w:tcPr>
            <w:tcW w:w="3521"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参展商文明参展承诺书、</w:t>
            </w:r>
            <w:r>
              <w:rPr>
                <w:rStyle w:val="76"/>
                <w:rFonts w:hint="eastAsia" w:ascii="华文细黑" w:hAnsi="华文细黑" w:eastAsia="华文细黑" w:cs="华文细黑"/>
                <w:color w:val="auto"/>
                <w:sz w:val="24"/>
                <w:szCs w:val="24"/>
              </w:rPr>
              <w:t>净地</w:t>
            </w:r>
            <w:r>
              <w:rPr>
                <w:rFonts w:hint="eastAsia" w:ascii="华文细黑" w:hAnsi="华文细黑" w:eastAsia="华文细黑" w:cs="华文细黑"/>
                <w:sz w:val="24"/>
                <w:szCs w:val="24"/>
              </w:rPr>
              <w:t>搭建结构安全、消防安全、施工安全承诺书</w:t>
            </w:r>
          </w:p>
        </w:tc>
        <w:tc>
          <w:tcPr>
            <w:tcW w:w="5417"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填写完整、清晰，须盖公章，详见第六部分附件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jc w:val="center"/>
        </w:trPr>
        <w:tc>
          <w:tcPr>
            <w:tcW w:w="72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7</w:t>
            </w:r>
          </w:p>
        </w:tc>
        <w:tc>
          <w:tcPr>
            <w:tcW w:w="3521"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结构安全证明书</w:t>
            </w:r>
          </w:p>
        </w:tc>
        <w:tc>
          <w:tcPr>
            <w:tcW w:w="5417" w:type="dxa"/>
            <w:noWrap w:val="0"/>
            <w:vAlign w:val="center"/>
          </w:tcPr>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搭建结构复杂的展位时须提供展位细部结构施工图并加盖有相关资质设计院审核章、国家注册结构工程师章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66" w:type="dxa"/>
            <w:gridSpan w:val="3"/>
            <w:noWrap w:val="0"/>
            <w:vAlign w:val="center"/>
          </w:tcPr>
          <w:p>
            <w:pPr>
              <w:spacing w:line="240" w:lineRule="auto"/>
              <w:rPr>
                <w:rFonts w:hint="eastAsia" w:ascii="华文细黑" w:hAnsi="华文细黑" w:eastAsia="华文细黑" w:cs="华文细黑"/>
                <w:kern w:val="0"/>
                <w:sz w:val="24"/>
                <w:szCs w:val="24"/>
              </w:rPr>
            </w:pPr>
            <w:r>
              <w:rPr>
                <w:rFonts w:hint="eastAsia" w:ascii="华文细黑" w:hAnsi="华文细黑" w:eastAsia="华文细黑" w:cs="华文细黑"/>
                <w:kern w:val="0"/>
                <w:sz w:val="24"/>
                <w:szCs w:val="24"/>
              </w:rPr>
              <w:t>备注：</w:t>
            </w:r>
          </w:p>
          <w:p>
            <w:pPr>
              <w:pStyle w:val="40"/>
              <w:numPr>
                <w:ilvl w:val="0"/>
                <w:numId w:val="5"/>
              </w:numPr>
              <w:spacing w:line="276" w:lineRule="auto"/>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 xml:space="preserve">所有图纸要求清晰完整，并在图纸明显位置注明展位号。 </w:t>
            </w:r>
          </w:p>
          <w:p>
            <w:pPr>
              <w:pStyle w:val="40"/>
              <w:numPr>
                <w:ilvl w:val="0"/>
                <w:numId w:val="5"/>
              </w:numPr>
              <w:spacing w:line="276" w:lineRule="auto"/>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清晰详尽的电路图。注明用电性质（机械设备用电/照明用电）、总功率、总开关和各级保护开关的额定电流值和电压等（220V/380V），注明所采用</w:t>
            </w:r>
            <w:r>
              <w:rPr>
                <w:rFonts w:hint="eastAsia" w:ascii="华文细黑" w:hAnsi="华文细黑" w:eastAsia="华文细黑" w:cs="华文细黑"/>
              </w:rPr>
              <w:t>线缆</w:t>
            </w:r>
            <w:r>
              <w:rPr>
                <w:rStyle w:val="65"/>
                <w:rFonts w:hint="eastAsia" w:ascii="华文细黑" w:hAnsi="华文细黑" w:eastAsia="华文细黑" w:cs="华文细黑"/>
                <w:color w:val="auto"/>
                <w:sz w:val="24"/>
                <w:szCs w:val="24"/>
              </w:rPr>
              <w:t>型号和敷设方式。</w:t>
            </w:r>
          </w:p>
          <w:p>
            <w:pPr>
              <w:pStyle w:val="40"/>
              <w:numPr>
                <w:ilvl w:val="0"/>
                <w:numId w:val="5"/>
              </w:numPr>
              <w:spacing w:line="276" w:lineRule="auto"/>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电路图注明展位的总配电箱位置；灯具等电器的种类、功率和安装位置。</w:t>
            </w:r>
          </w:p>
          <w:p>
            <w:pPr>
              <w:pStyle w:val="40"/>
              <w:numPr>
                <w:ilvl w:val="0"/>
                <w:numId w:val="5"/>
              </w:numPr>
              <w:spacing w:line="276" w:lineRule="auto"/>
              <w:rPr>
                <w:rFonts w:hint="eastAsia" w:ascii="华文细黑" w:hAnsi="华文细黑" w:eastAsia="华文细黑" w:cs="华文细黑"/>
              </w:rPr>
            </w:pPr>
            <w:r>
              <w:rPr>
                <w:rFonts w:hint="eastAsia" w:ascii="华文细黑" w:hAnsi="华文细黑" w:eastAsia="华文细黑" w:cs="华文细黑"/>
              </w:rPr>
              <w:fldChar w:fldCharType="begin"/>
            </w:r>
            <w:r>
              <w:rPr>
                <w:rFonts w:hint="eastAsia" w:ascii="华文细黑" w:hAnsi="华文细黑" w:eastAsia="华文细黑" w:cs="华文细黑"/>
              </w:rPr>
              <w:instrText xml:space="preserve"> HYPERLINK "mailto:上述所有申报资料必须填写清晰完整并加盖公章，发送电子文档到主场服务商指定邮箱ciexpo@vip.163.com，申报图纸通过后，必须在5日内缴费至主场服务商指定银行账户。" </w:instrText>
            </w:r>
            <w:r>
              <w:rPr>
                <w:rFonts w:hint="eastAsia" w:ascii="华文细黑" w:hAnsi="华文细黑" w:eastAsia="华文细黑" w:cs="华文细黑"/>
              </w:rPr>
              <w:fldChar w:fldCharType="separate"/>
            </w:r>
            <w:r>
              <w:rPr>
                <w:rStyle w:val="65"/>
                <w:rFonts w:hint="eastAsia" w:ascii="华文细黑" w:hAnsi="华文细黑" w:eastAsia="华文细黑" w:cs="华文细黑"/>
                <w:color w:val="auto"/>
                <w:sz w:val="24"/>
                <w:szCs w:val="24"/>
              </w:rPr>
              <w:t xml:space="preserve">上述所有申报资料必须填写清晰完整并加盖公章，通过 </w:t>
            </w:r>
            <w:r>
              <w:rPr>
                <w:rStyle w:val="65"/>
                <w:rFonts w:hint="eastAsia" w:ascii="华文细黑" w:hAnsi="华文细黑" w:eastAsia="华文细黑" w:cs="华文细黑"/>
                <w:color w:val="0000FF"/>
                <w:sz w:val="24"/>
                <w:szCs w:val="24"/>
              </w:rPr>
              <w:t>“</w:t>
            </w:r>
            <w:r>
              <w:rPr>
                <w:rStyle w:val="65"/>
                <w:rFonts w:hint="eastAsia" w:ascii="华文细黑" w:hAnsi="华文细黑" w:eastAsia="华文细黑" w:cs="华文细黑"/>
                <w:color w:val="0000FF"/>
                <w:sz w:val="24"/>
                <w:szCs w:val="24"/>
                <w:lang w:eastAsia="zh-CN"/>
              </w:rPr>
              <w:t>福建省地坪行业协会</w:t>
            </w:r>
            <w:r>
              <w:rPr>
                <w:rStyle w:val="65"/>
                <w:rFonts w:hint="eastAsia" w:ascii="华文细黑" w:hAnsi="华文细黑" w:eastAsia="华文细黑" w:cs="华文细黑"/>
                <w:color w:val="0000FF"/>
                <w:sz w:val="24"/>
                <w:szCs w:val="24"/>
              </w:rPr>
              <w:t>”</w:t>
            </w:r>
            <w:r>
              <w:rPr>
                <w:rStyle w:val="65"/>
                <w:rFonts w:hint="eastAsia" w:ascii="华文细黑" w:hAnsi="华文细黑" w:eastAsia="华文细黑" w:cs="华文细黑"/>
                <w:color w:val="0000FF"/>
                <w:sz w:val="24"/>
                <w:szCs w:val="24"/>
                <w:lang w:eastAsia="zh-CN"/>
              </w:rPr>
              <w:t>邮箱</w:t>
            </w:r>
            <w:r>
              <w:rPr>
                <w:rFonts w:hint="eastAsia" w:ascii="华文细黑" w:hAnsi="华文细黑" w:eastAsia="华文细黑" w:cs="华文细黑"/>
                <w:bCs/>
                <w:color w:val="0000FF"/>
                <w:highlight w:val="none"/>
                <w:lang w:val="en-US" w:eastAsia="zh-CN"/>
              </w:rPr>
              <w:t>fjfllor@163.com</w:t>
            </w:r>
            <w:r>
              <w:rPr>
                <w:rStyle w:val="65"/>
                <w:rFonts w:hint="eastAsia" w:ascii="华文细黑" w:hAnsi="华文细黑" w:eastAsia="华文细黑" w:cs="华文细黑"/>
                <w:color w:val="auto"/>
                <w:sz w:val="24"/>
                <w:szCs w:val="24"/>
              </w:rPr>
              <w:t>进行</w:t>
            </w:r>
            <w:r>
              <w:rPr>
                <w:rStyle w:val="65"/>
                <w:rFonts w:hint="eastAsia" w:ascii="华文细黑" w:hAnsi="华文细黑" w:eastAsia="华文细黑" w:cs="华文细黑"/>
                <w:color w:val="0000FF"/>
                <w:sz w:val="24"/>
                <w:szCs w:val="24"/>
                <w:lang w:eastAsia="zh-CN"/>
              </w:rPr>
              <w:t>资料提交</w:t>
            </w:r>
            <w:r>
              <w:rPr>
                <w:rStyle w:val="65"/>
                <w:rFonts w:hint="eastAsia" w:ascii="华文细黑" w:hAnsi="华文细黑" w:eastAsia="华文细黑" w:cs="华文细黑"/>
                <w:color w:val="auto"/>
                <w:sz w:val="24"/>
                <w:szCs w:val="24"/>
              </w:rPr>
              <w:t>申报，申报图纸通过后，请通过银行对公账户缴纳相关报馆费用。</w:t>
            </w:r>
            <w:r>
              <w:rPr>
                <w:rFonts w:hint="eastAsia" w:ascii="华文细黑" w:hAnsi="华文细黑" w:eastAsia="华文细黑" w:cs="华文细黑"/>
              </w:rPr>
              <w:fldChar w:fldCharType="end"/>
            </w:r>
          </w:p>
          <w:p>
            <w:pPr>
              <w:spacing w:line="240" w:lineRule="auto"/>
              <w:rPr>
                <w:rFonts w:hint="eastAsia" w:ascii="华文细黑" w:hAnsi="华文细黑" w:eastAsia="华文细黑" w:cs="华文细黑"/>
                <w:kern w:val="0"/>
                <w:sz w:val="24"/>
                <w:szCs w:val="24"/>
              </w:rPr>
            </w:pPr>
          </w:p>
        </w:tc>
      </w:tr>
    </w:tbl>
    <w:p>
      <w:pPr>
        <w:pStyle w:val="26"/>
        <w:spacing w:line="276" w:lineRule="auto"/>
        <w:ind w:left="240" w:hanging="240" w:hangingChars="100"/>
        <w:rPr>
          <w:rStyle w:val="65"/>
          <w:rFonts w:hint="eastAsia" w:ascii="华文细黑" w:hAnsi="华文细黑" w:eastAsia="华文细黑" w:cs="华文细黑"/>
          <w:b/>
          <w:color w:val="auto"/>
          <w:sz w:val="24"/>
          <w:szCs w:val="24"/>
        </w:rPr>
      </w:pPr>
    </w:p>
    <w:p>
      <w:pPr>
        <w:pStyle w:val="26"/>
        <w:spacing w:line="276" w:lineRule="auto"/>
        <w:ind w:left="240" w:hanging="240" w:hangingChars="10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b/>
          <w:color w:val="auto"/>
          <w:sz w:val="24"/>
          <w:szCs w:val="24"/>
        </w:rPr>
        <w:t>报图须知：</w:t>
      </w:r>
      <w:r>
        <w:rPr>
          <w:rStyle w:val="65"/>
          <w:rFonts w:hint="eastAsia" w:ascii="华文细黑" w:hAnsi="华文细黑" w:eastAsia="华文细黑" w:cs="华文细黑"/>
          <w:color w:val="auto"/>
          <w:sz w:val="24"/>
          <w:szCs w:val="24"/>
        </w:rPr>
        <w:br w:type="textWrapping"/>
      </w:r>
      <w:r>
        <w:rPr>
          <w:rStyle w:val="65"/>
          <w:rFonts w:hint="eastAsia" w:ascii="华文细黑" w:hAnsi="华文细黑" w:eastAsia="华文细黑" w:cs="华文细黑"/>
          <w:color w:val="auto"/>
          <w:sz w:val="24"/>
          <w:szCs w:val="24"/>
        </w:rPr>
        <w:t>1）先进行</w:t>
      </w:r>
      <w:r>
        <w:rPr>
          <w:rStyle w:val="65"/>
          <w:rFonts w:hint="eastAsia" w:ascii="华文细黑" w:hAnsi="华文细黑" w:eastAsia="华文细黑" w:cs="华文细黑"/>
          <w:color w:val="0000FF"/>
          <w:sz w:val="24"/>
          <w:szCs w:val="24"/>
          <w:lang w:eastAsia="zh-CN"/>
        </w:rPr>
        <w:t>邮箱</w:t>
      </w:r>
      <w:r>
        <w:rPr>
          <w:rStyle w:val="65"/>
          <w:rFonts w:hint="eastAsia" w:ascii="华文细黑" w:hAnsi="华文细黑" w:eastAsia="华文细黑" w:cs="华文细黑"/>
          <w:color w:val="auto"/>
          <w:sz w:val="24"/>
          <w:szCs w:val="24"/>
        </w:rPr>
        <w:t>报图预审，将所有设计图纸资质审核文件和文字说明用 A4 规格，作扫描图片（JPG 格式）整理好上传至</w:t>
      </w:r>
      <w:r>
        <w:rPr>
          <w:rStyle w:val="65"/>
          <w:rFonts w:hint="eastAsia" w:ascii="华文细黑" w:hAnsi="华文细黑" w:eastAsia="华文细黑" w:cs="华文细黑"/>
          <w:color w:val="0000FF"/>
          <w:sz w:val="24"/>
          <w:szCs w:val="24"/>
          <w:lang w:eastAsia="zh-CN"/>
        </w:rPr>
        <w:t>邮箱</w:t>
      </w:r>
      <w:r>
        <w:rPr>
          <w:rStyle w:val="65"/>
          <w:rFonts w:hint="eastAsia" w:ascii="华文细黑" w:hAnsi="华文细黑" w:eastAsia="华文细黑" w:cs="华文细黑"/>
          <w:color w:val="0000FF"/>
          <w:sz w:val="24"/>
          <w:szCs w:val="24"/>
          <w:lang w:val="en-US" w:eastAsia="zh-CN"/>
        </w:rPr>
        <w:t>fjfloor@163.com</w:t>
      </w:r>
      <w:r>
        <w:rPr>
          <w:rStyle w:val="65"/>
          <w:rFonts w:hint="eastAsia" w:ascii="华文细黑" w:hAnsi="华文细黑" w:eastAsia="华文细黑" w:cs="华文细黑"/>
          <w:color w:val="auto"/>
          <w:sz w:val="24"/>
          <w:szCs w:val="24"/>
        </w:rPr>
        <w:t>进行预审，要求图表清晰（报图资料必须分类整理一次性完整上传）</w:t>
      </w:r>
    </w:p>
    <w:p>
      <w:pPr>
        <w:pStyle w:val="26"/>
        <w:spacing w:line="276" w:lineRule="auto"/>
        <w:ind w:left="359" w:leftChars="114" w:hanging="120" w:hangingChars="5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2）</w:t>
      </w:r>
      <w:r>
        <w:rPr>
          <w:rStyle w:val="65"/>
          <w:rFonts w:hint="eastAsia" w:ascii="华文细黑" w:hAnsi="华文细黑" w:eastAsia="华文细黑" w:cs="华文细黑"/>
          <w:color w:val="0000FF"/>
          <w:sz w:val="24"/>
          <w:szCs w:val="24"/>
        </w:rPr>
        <w:t>预审完成后</w:t>
      </w:r>
      <w:r>
        <w:rPr>
          <w:rStyle w:val="65"/>
          <w:rFonts w:hint="eastAsia" w:ascii="华文细黑" w:hAnsi="华文细黑" w:eastAsia="华文细黑" w:cs="华文细黑"/>
          <w:color w:val="auto"/>
          <w:sz w:val="24"/>
          <w:szCs w:val="24"/>
        </w:rPr>
        <w:t>，用户根据自己需求选择需要的商品，</w:t>
      </w:r>
      <w:r>
        <w:rPr>
          <w:rStyle w:val="65"/>
          <w:rFonts w:hint="eastAsia" w:ascii="华文细黑" w:hAnsi="华文细黑" w:eastAsia="华文细黑" w:cs="华文细黑"/>
          <w:color w:val="0000FF"/>
          <w:sz w:val="24"/>
          <w:szCs w:val="24"/>
          <w:lang w:eastAsia="zh-CN"/>
        </w:rPr>
        <w:t>由组委会下发</w:t>
      </w:r>
      <w:r>
        <w:rPr>
          <w:rStyle w:val="65"/>
          <w:rFonts w:hint="eastAsia" w:ascii="华文细黑" w:hAnsi="华文细黑" w:eastAsia="华文细黑" w:cs="华文细黑"/>
          <w:color w:val="auto"/>
          <w:sz w:val="24"/>
          <w:szCs w:val="24"/>
        </w:rPr>
        <w:t>缴费通知书，</w:t>
      </w:r>
      <w:r>
        <w:rPr>
          <w:rStyle w:val="65"/>
          <w:rFonts w:hint="eastAsia" w:ascii="华文细黑" w:hAnsi="华文细黑" w:eastAsia="华文细黑" w:cs="华文细黑"/>
          <w:color w:val="0000FF"/>
          <w:sz w:val="24"/>
          <w:szCs w:val="24"/>
          <w:lang w:eastAsia="zh-CN"/>
        </w:rPr>
        <w:t>用户</w:t>
      </w:r>
      <w:r>
        <w:rPr>
          <w:rStyle w:val="65"/>
          <w:rFonts w:hint="eastAsia" w:ascii="华文细黑" w:hAnsi="华文细黑" w:eastAsia="华文细黑" w:cs="华文细黑"/>
          <w:color w:val="auto"/>
          <w:sz w:val="24"/>
          <w:szCs w:val="24"/>
        </w:rPr>
        <w:t>对所预订项目进行缴费（含电费、管理费、净地施工保证金等费用一次性缴齐汇至</w:t>
      </w:r>
      <w:r>
        <w:rPr>
          <w:rStyle w:val="65"/>
          <w:rFonts w:hint="eastAsia" w:ascii="华文细黑" w:hAnsi="华文细黑" w:eastAsia="华文细黑" w:cs="华文细黑"/>
          <w:color w:val="0000FF"/>
          <w:sz w:val="24"/>
          <w:szCs w:val="24"/>
          <w:lang w:eastAsia="zh-CN"/>
        </w:rPr>
        <w:t>主办方福建省地坪行业协会</w:t>
      </w:r>
      <w:r>
        <w:rPr>
          <w:rStyle w:val="65"/>
          <w:rFonts w:hint="eastAsia" w:ascii="华文细黑" w:hAnsi="华文细黑" w:eastAsia="华文细黑" w:cs="华文细黑"/>
          <w:color w:val="auto"/>
          <w:sz w:val="24"/>
          <w:szCs w:val="24"/>
        </w:rPr>
        <w:t>指定帐户）</w:t>
      </w:r>
    </w:p>
    <w:p>
      <w:pPr>
        <w:pStyle w:val="26"/>
        <w:spacing w:line="276" w:lineRule="auto"/>
        <w:ind w:left="359" w:leftChars="114" w:hanging="120" w:hangingChars="5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3）在报图截止前（</w:t>
      </w:r>
      <w:r>
        <w:rPr>
          <w:rStyle w:val="65"/>
          <w:rFonts w:hint="eastAsia" w:ascii="华文细黑" w:hAnsi="华文细黑" w:eastAsia="华文细黑" w:cs="华文细黑"/>
          <w:color w:val="auto"/>
          <w:sz w:val="24"/>
          <w:szCs w:val="24"/>
          <w:highlight w:val="none"/>
        </w:rPr>
        <w:t>201</w:t>
      </w:r>
      <w:r>
        <w:rPr>
          <w:rStyle w:val="65"/>
          <w:rFonts w:hint="eastAsia" w:ascii="华文细黑" w:hAnsi="华文细黑" w:eastAsia="华文细黑" w:cs="华文细黑"/>
          <w:color w:val="auto"/>
          <w:sz w:val="24"/>
          <w:szCs w:val="24"/>
          <w:highlight w:val="none"/>
          <w:lang w:val="en-US" w:eastAsia="zh-CN"/>
        </w:rPr>
        <w:t>9</w:t>
      </w:r>
      <w:r>
        <w:rPr>
          <w:rStyle w:val="65"/>
          <w:rFonts w:hint="eastAsia" w:ascii="华文细黑" w:hAnsi="华文细黑" w:eastAsia="华文细黑" w:cs="华文细黑"/>
          <w:color w:val="auto"/>
          <w:sz w:val="24"/>
          <w:szCs w:val="24"/>
          <w:highlight w:val="none"/>
        </w:rPr>
        <w:t>年1</w:t>
      </w:r>
      <w:r>
        <w:rPr>
          <w:rStyle w:val="65"/>
          <w:rFonts w:hint="eastAsia" w:ascii="华文细黑" w:hAnsi="华文细黑" w:eastAsia="华文细黑" w:cs="华文细黑"/>
          <w:color w:val="auto"/>
          <w:sz w:val="24"/>
          <w:szCs w:val="24"/>
          <w:highlight w:val="none"/>
          <w:lang w:val="en-US" w:eastAsia="zh-CN"/>
        </w:rPr>
        <w:t>1</w:t>
      </w:r>
      <w:r>
        <w:rPr>
          <w:rStyle w:val="65"/>
          <w:rFonts w:hint="eastAsia" w:ascii="华文细黑" w:hAnsi="华文细黑" w:eastAsia="华文细黑" w:cs="华文细黑"/>
          <w:color w:val="auto"/>
          <w:sz w:val="24"/>
          <w:szCs w:val="24"/>
          <w:highlight w:val="none"/>
        </w:rPr>
        <w:t>月</w:t>
      </w:r>
      <w:r>
        <w:rPr>
          <w:rStyle w:val="65"/>
          <w:rFonts w:hint="eastAsia" w:ascii="华文细黑" w:hAnsi="华文细黑" w:eastAsia="华文细黑" w:cs="华文细黑"/>
          <w:color w:val="auto"/>
          <w:sz w:val="24"/>
          <w:szCs w:val="24"/>
          <w:highlight w:val="none"/>
          <w:lang w:val="en-US" w:eastAsia="zh-CN"/>
        </w:rPr>
        <w:t>8</w:t>
      </w:r>
      <w:r>
        <w:rPr>
          <w:rStyle w:val="65"/>
          <w:rFonts w:hint="eastAsia" w:ascii="华文细黑" w:hAnsi="华文细黑" w:eastAsia="华文细黑" w:cs="华文细黑"/>
          <w:color w:val="auto"/>
          <w:sz w:val="24"/>
          <w:szCs w:val="24"/>
          <w:highlight w:val="none"/>
        </w:rPr>
        <w:t>日</w:t>
      </w:r>
      <w:r>
        <w:rPr>
          <w:rStyle w:val="65"/>
          <w:rFonts w:hint="eastAsia" w:ascii="华文细黑" w:hAnsi="华文细黑" w:eastAsia="华文细黑" w:cs="华文细黑"/>
          <w:color w:val="auto"/>
          <w:sz w:val="24"/>
          <w:szCs w:val="24"/>
        </w:rPr>
        <w:t>），请一并缴清进馆所有项目的电费、管理费和各项押金等费用，截止日期以款到为准，超过截止时间报图，</w:t>
      </w:r>
      <w:r>
        <w:rPr>
          <w:rStyle w:val="65"/>
          <w:rFonts w:hint="eastAsia" w:ascii="华文细黑" w:hAnsi="华文细黑" w:eastAsia="华文细黑" w:cs="华文细黑"/>
          <w:color w:val="auto"/>
          <w:sz w:val="24"/>
          <w:szCs w:val="24"/>
          <w:lang w:val="en-US" w:eastAsia="zh-CN"/>
        </w:rPr>
        <w:t>将加收部分费用。</w:t>
      </w:r>
      <w:r>
        <w:rPr>
          <w:rStyle w:val="65"/>
          <w:rFonts w:hint="eastAsia" w:ascii="华文细黑" w:hAnsi="华文细黑" w:eastAsia="华文细黑" w:cs="华文细黑"/>
          <w:color w:val="auto"/>
          <w:sz w:val="24"/>
          <w:szCs w:val="24"/>
        </w:rPr>
        <w:t>（特别声明：报图期间请及时关注</w:t>
      </w:r>
      <w:r>
        <w:rPr>
          <w:rStyle w:val="65"/>
          <w:rFonts w:hint="eastAsia" w:ascii="华文细黑" w:hAnsi="华文细黑" w:eastAsia="华文细黑" w:cs="华文细黑"/>
          <w:color w:val="0000FF"/>
          <w:sz w:val="24"/>
          <w:szCs w:val="24"/>
          <w:lang w:eastAsia="zh-CN"/>
        </w:rPr>
        <w:t>组委会通知</w:t>
      </w:r>
      <w:r>
        <w:rPr>
          <w:rStyle w:val="65"/>
          <w:rFonts w:hint="eastAsia" w:ascii="华文细黑" w:hAnsi="华文细黑" w:eastAsia="华文细黑" w:cs="华文细黑"/>
          <w:color w:val="auto"/>
          <w:sz w:val="24"/>
          <w:szCs w:val="24"/>
        </w:rPr>
        <w:t>，</w:t>
      </w:r>
      <w:r>
        <w:rPr>
          <w:rStyle w:val="65"/>
          <w:rFonts w:hint="eastAsia" w:ascii="华文细黑" w:hAnsi="华文细黑" w:eastAsia="华文细黑" w:cs="华文细黑"/>
          <w:color w:val="auto"/>
          <w:sz w:val="24"/>
          <w:szCs w:val="24"/>
          <w:lang w:val="en-US" w:eastAsia="zh-CN"/>
        </w:rPr>
        <w:t>延</w:t>
      </w:r>
      <w:r>
        <w:rPr>
          <w:rStyle w:val="65"/>
          <w:rFonts w:hint="eastAsia" w:ascii="华文细黑" w:hAnsi="华文细黑" w:eastAsia="华文细黑" w:cs="华文细黑"/>
          <w:color w:val="auto"/>
          <w:sz w:val="24"/>
          <w:szCs w:val="24"/>
        </w:rPr>
        <w:t xml:space="preserve">误报图责任自行负责！）  </w:t>
      </w:r>
    </w:p>
    <w:p>
      <w:pPr>
        <w:pStyle w:val="26"/>
        <w:spacing w:line="276" w:lineRule="auto"/>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2.4 注意事项：</w:t>
      </w:r>
      <w:r>
        <w:rPr>
          <w:rStyle w:val="65"/>
          <w:rFonts w:hint="eastAsia" w:ascii="华文细黑" w:hAnsi="华文细黑" w:eastAsia="华文细黑" w:cs="华文细黑"/>
          <w:color w:val="auto"/>
          <w:sz w:val="24"/>
          <w:szCs w:val="24"/>
        </w:rPr>
        <w:br w:type="textWrapping"/>
      </w:r>
      <w:r>
        <w:rPr>
          <w:rStyle w:val="65"/>
          <w:rFonts w:hint="eastAsia" w:ascii="华文细黑" w:hAnsi="华文细黑" w:eastAsia="华文细黑" w:cs="华文细黑"/>
          <w:color w:val="auto"/>
          <w:sz w:val="24"/>
          <w:szCs w:val="24"/>
        </w:rPr>
        <w:t xml:space="preserve">    1）所有特装展位不论面积大小必须申报图纸，未经申报或预审不合格的展位，大</w:t>
      </w:r>
    </w:p>
    <w:p>
      <w:pPr>
        <w:pStyle w:val="26"/>
        <w:spacing w:line="276" w:lineRule="auto"/>
        <w:ind w:firstLine="84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会将强行拆除清理，所需费用和损失均由参展单位与施工单位承担；</w:t>
      </w:r>
      <w:r>
        <w:rPr>
          <w:rStyle w:val="65"/>
          <w:rFonts w:hint="eastAsia" w:ascii="华文细黑" w:hAnsi="华文细黑" w:eastAsia="华文细黑" w:cs="华文细黑"/>
          <w:color w:val="auto"/>
          <w:sz w:val="24"/>
          <w:szCs w:val="24"/>
        </w:rPr>
        <w:br w:type="textWrapping"/>
      </w:r>
      <w:r>
        <w:rPr>
          <w:rStyle w:val="65"/>
          <w:rFonts w:hint="eastAsia" w:ascii="华文细黑" w:hAnsi="华文细黑" w:eastAsia="华文细黑" w:cs="华文细黑"/>
          <w:color w:val="auto"/>
          <w:sz w:val="24"/>
          <w:szCs w:val="24"/>
        </w:rPr>
        <w:t xml:space="preserve">    2）特装</w:t>
      </w:r>
      <w:r>
        <w:rPr>
          <w:rStyle w:val="65"/>
          <w:rFonts w:hint="eastAsia" w:ascii="华文细黑" w:hAnsi="华文细黑" w:eastAsia="华文细黑" w:cs="华文细黑"/>
          <w:color w:val="auto"/>
          <w:sz w:val="24"/>
          <w:szCs w:val="24"/>
          <w:lang w:eastAsia="zh-CN"/>
        </w:rPr>
        <w:t>服务</w:t>
      </w:r>
      <w:r>
        <w:rPr>
          <w:rStyle w:val="65"/>
          <w:rFonts w:hint="eastAsia" w:ascii="华文细黑" w:hAnsi="华文细黑" w:eastAsia="华文细黑" w:cs="华文细黑"/>
          <w:color w:val="auto"/>
          <w:sz w:val="24"/>
          <w:szCs w:val="24"/>
        </w:rPr>
        <w:t>单位对所有已通过审批确定的报审图纸，不得随意更改；如确需更改</w:t>
      </w:r>
    </w:p>
    <w:p>
      <w:pPr>
        <w:pStyle w:val="26"/>
        <w:spacing w:line="276" w:lineRule="auto"/>
        <w:ind w:firstLine="84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的，须经主场</w:t>
      </w:r>
      <w:r>
        <w:rPr>
          <w:rStyle w:val="65"/>
          <w:rFonts w:hint="eastAsia" w:ascii="华文细黑" w:hAnsi="华文细黑" w:eastAsia="华文细黑" w:cs="华文细黑"/>
          <w:color w:val="auto"/>
          <w:sz w:val="24"/>
          <w:szCs w:val="24"/>
          <w:lang w:val="en-US" w:eastAsia="zh-CN"/>
        </w:rPr>
        <w:t>服务</w:t>
      </w:r>
      <w:r>
        <w:rPr>
          <w:rStyle w:val="65"/>
          <w:rFonts w:hint="eastAsia" w:ascii="华文细黑" w:hAnsi="华文细黑" w:eastAsia="华文细黑" w:cs="华文细黑"/>
          <w:color w:val="auto"/>
          <w:sz w:val="24"/>
          <w:szCs w:val="24"/>
        </w:rPr>
        <w:t>商预审。对擅自更改的，大会有权不予供电或相关展会服务，</w:t>
      </w:r>
    </w:p>
    <w:p>
      <w:pPr>
        <w:pStyle w:val="26"/>
        <w:spacing w:line="276" w:lineRule="auto"/>
        <w:ind w:firstLine="84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并给予警告或处罚；</w:t>
      </w:r>
      <w:r>
        <w:rPr>
          <w:rStyle w:val="65"/>
          <w:rFonts w:hint="eastAsia" w:ascii="华文细黑" w:hAnsi="华文细黑" w:eastAsia="华文细黑" w:cs="华文细黑"/>
          <w:color w:val="auto"/>
          <w:sz w:val="24"/>
          <w:szCs w:val="24"/>
        </w:rPr>
        <w:br w:type="textWrapping"/>
      </w:r>
      <w:r>
        <w:rPr>
          <w:rStyle w:val="65"/>
          <w:rFonts w:hint="eastAsia" w:ascii="华文细黑" w:hAnsi="华文细黑" w:eastAsia="华文细黑" w:cs="华文细黑"/>
          <w:color w:val="auto"/>
          <w:sz w:val="24"/>
          <w:szCs w:val="24"/>
        </w:rPr>
        <w:t xml:space="preserve">    3）特装承建单位施工须严格按图进行施工，不得超出施工许可规定范围作业，并</w:t>
      </w:r>
    </w:p>
    <w:p>
      <w:pPr>
        <w:pStyle w:val="26"/>
        <w:spacing w:line="276" w:lineRule="auto"/>
        <w:ind w:firstLine="84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接受大会管理人员的监督和检查。若发现违规施工，管理人员可口头警告直至</w:t>
      </w:r>
    </w:p>
    <w:p>
      <w:pPr>
        <w:pStyle w:val="26"/>
        <w:spacing w:line="276" w:lineRule="auto"/>
        <w:ind w:firstLine="84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取消其施工资格，由此导致的一切后果由承建单位负责；</w:t>
      </w:r>
      <w:r>
        <w:rPr>
          <w:rStyle w:val="65"/>
          <w:rFonts w:hint="eastAsia" w:ascii="华文细黑" w:hAnsi="华文细黑" w:eastAsia="华文细黑" w:cs="华文细黑"/>
          <w:color w:val="auto"/>
          <w:sz w:val="24"/>
          <w:szCs w:val="24"/>
        </w:rPr>
        <w:br w:type="textWrapping"/>
      </w:r>
      <w:r>
        <w:rPr>
          <w:rStyle w:val="65"/>
          <w:rFonts w:hint="eastAsia" w:ascii="华文细黑" w:hAnsi="华文细黑" w:eastAsia="华文细黑" w:cs="华文细黑"/>
          <w:color w:val="auto"/>
          <w:sz w:val="24"/>
          <w:szCs w:val="24"/>
        </w:rPr>
        <w:t xml:space="preserve">    4）施工现场，所有施工单位必须服从大会主场</w:t>
      </w:r>
      <w:r>
        <w:rPr>
          <w:rStyle w:val="65"/>
          <w:rFonts w:hint="eastAsia" w:ascii="华文细黑" w:hAnsi="华文细黑" w:eastAsia="华文细黑" w:cs="华文细黑"/>
          <w:color w:val="auto"/>
          <w:sz w:val="24"/>
          <w:szCs w:val="24"/>
          <w:lang w:val="en-US" w:eastAsia="zh-CN"/>
        </w:rPr>
        <w:t>服务</w:t>
      </w:r>
      <w:r>
        <w:rPr>
          <w:rStyle w:val="65"/>
          <w:rFonts w:hint="eastAsia" w:ascii="华文细黑" w:hAnsi="华文细黑" w:eastAsia="华文细黑" w:cs="华文细黑"/>
          <w:color w:val="auto"/>
          <w:sz w:val="24"/>
          <w:szCs w:val="24"/>
        </w:rPr>
        <w:t>商的统一管理，严格实施施工</w:t>
      </w:r>
    </w:p>
    <w:p>
      <w:pPr>
        <w:pStyle w:val="26"/>
        <w:spacing w:line="276" w:lineRule="auto"/>
        <w:ind w:firstLine="84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操作规程和用电安全条例，确保施工安全；对现场不服从管理的施工工作人员，</w:t>
      </w:r>
    </w:p>
    <w:p>
      <w:pPr>
        <w:pStyle w:val="26"/>
        <w:spacing w:line="276" w:lineRule="auto"/>
        <w:ind w:firstLine="840"/>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大会主场</w:t>
      </w:r>
      <w:r>
        <w:rPr>
          <w:rStyle w:val="65"/>
          <w:rFonts w:hint="eastAsia" w:ascii="华文细黑" w:hAnsi="华文细黑" w:eastAsia="华文细黑" w:cs="华文细黑"/>
          <w:color w:val="auto"/>
          <w:sz w:val="24"/>
          <w:szCs w:val="24"/>
          <w:lang w:eastAsia="zh-CN"/>
        </w:rPr>
        <w:t>服务</w:t>
      </w:r>
      <w:r>
        <w:rPr>
          <w:rStyle w:val="65"/>
          <w:rFonts w:hint="eastAsia" w:ascii="华文细黑" w:hAnsi="华文细黑" w:eastAsia="华文细黑" w:cs="华文细黑"/>
          <w:color w:val="auto"/>
          <w:sz w:val="24"/>
          <w:szCs w:val="24"/>
        </w:rPr>
        <w:t xml:space="preserve">商有权做出相应处罚措施。 </w:t>
      </w:r>
    </w:p>
    <w:p>
      <w:pPr>
        <w:pStyle w:val="40"/>
        <w:spacing w:line="240" w:lineRule="auto"/>
        <w:rPr>
          <w:rStyle w:val="65"/>
          <w:rFonts w:hint="eastAsia" w:ascii="华文细黑" w:hAnsi="华文细黑" w:eastAsia="华文细黑" w:cs="华文细黑"/>
          <w:color w:val="auto"/>
          <w:sz w:val="24"/>
          <w:szCs w:val="24"/>
        </w:rPr>
      </w:pPr>
    </w:p>
    <w:p>
      <w:pPr>
        <w:pStyle w:val="40"/>
        <w:spacing w:line="240" w:lineRule="auto"/>
        <w:rPr>
          <w:rStyle w:val="65"/>
          <w:rFonts w:hint="eastAsia" w:ascii="华文细黑" w:hAnsi="华文细黑" w:eastAsia="华文细黑" w:cs="华文细黑"/>
          <w:color w:val="auto"/>
          <w:sz w:val="24"/>
          <w:szCs w:val="24"/>
        </w:rPr>
      </w:pPr>
    </w:p>
    <w:p>
      <w:pPr>
        <w:pStyle w:val="40"/>
        <w:spacing w:line="240" w:lineRule="auto"/>
        <w:rPr>
          <w:rStyle w:val="65"/>
          <w:rFonts w:hint="eastAsia" w:ascii="华文细黑" w:hAnsi="华文细黑" w:eastAsia="华文细黑" w:cs="华文细黑"/>
          <w:color w:val="auto"/>
          <w:sz w:val="24"/>
          <w:szCs w:val="24"/>
        </w:rPr>
      </w:pPr>
    </w:p>
    <w:p>
      <w:pPr>
        <w:pStyle w:val="40"/>
        <w:spacing w:line="240" w:lineRule="auto"/>
        <w:rPr>
          <w:rStyle w:val="65"/>
          <w:rFonts w:hint="eastAsia" w:ascii="华文细黑" w:hAnsi="华文细黑" w:eastAsia="华文细黑" w:cs="华文细黑"/>
          <w:color w:val="auto"/>
          <w:sz w:val="24"/>
          <w:szCs w:val="24"/>
        </w:rPr>
      </w:pPr>
    </w:p>
    <w:p>
      <w:pPr>
        <w:pStyle w:val="40"/>
        <w:spacing w:line="240" w:lineRule="auto"/>
        <w:rPr>
          <w:rStyle w:val="65"/>
          <w:rFonts w:hint="eastAsia" w:ascii="华文细黑" w:hAnsi="华文细黑" w:eastAsia="华文细黑" w:cs="华文细黑"/>
          <w:color w:val="auto"/>
          <w:sz w:val="24"/>
          <w:szCs w:val="24"/>
        </w:rPr>
      </w:pPr>
    </w:p>
    <w:p>
      <w:pPr>
        <w:pStyle w:val="40"/>
        <w:spacing w:line="240" w:lineRule="auto"/>
        <w:rPr>
          <w:rStyle w:val="65"/>
          <w:rFonts w:hint="eastAsia" w:ascii="华文细黑" w:hAnsi="华文细黑" w:eastAsia="华文细黑" w:cs="华文细黑"/>
          <w:color w:val="auto"/>
          <w:sz w:val="24"/>
          <w:szCs w:val="24"/>
        </w:rPr>
      </w:pPr>
    </w:p>
    <w:p>
      <w:pPr>
        <w:pStyle w:val="40"/>
        <w:spacing w:line="240" w:lineRule="auto"/>
        <w:rPr>
          <w:rStyle w:val="65"/>
          <w:rFonts w:hint="eastAsia" w:ascii="华文细黑" w:hAnsi="华文细黑" w:eastAsia="华文细黑" w:cs="华文细黑"/>
          <w:color w:val="auto"/>
          <w:sz w:val="24"/>
          <w:szCs w:val="24"/>
        </w:rPr>
      </w:pPr>
    </w:p>
    <w:p>
      <w:pPr>
        <w:pStyle w:val="40"/>
        <w:spacing w:line="240" w:lineRule="auto"/>
        <w:rPr>
          <w:rStyle w:val="65"/>
          <w:rFonts w:hint="eastAsia" w:ascii="华文细黑" w:hAnsi="华文细黑" w:eastAsia="华文细黑" w:cs="华文细黑"/>
          <w:color w:val="auto"/>
          <w:sz w:val="24"/>
          <w:szCs w:val="24"/>
        </w:rPr>
      </w:pPr>
    </w:p>
    <w:p>
      <w:pPr>
        <w:pStyle w:val="40"/>
        <w:spacing w:line="240" w:lineRule="auto"/>
        <w:rPr>
          <w:rStyle w:val="65"/>
          <w:rFonts w:hint="eastAsia" w:ascii="华文细黑" w:hAnsi="华文细黑" w:eastAsia="华文细黑" w:cs="华文细黑"/>
          <w:color w:val="auto"/>
          <w:sz w:val="24"/>
          <w:szCs w:val="24"/>
        </w:rPr>
      </w:pPr>
      <w:r>
        <w:rPr>
          <w:rStyle w:val="65"/>
          <w:rFonts w:hint="eastAsia" w:ascii="华文细黑" w:hAnsi="华文细黑" w:eastAsia="华文细黑" w:cs="华文细黑"/>
          <w:color w:val="auto"/>
          <w:sz w:val="24"/>
          <w:szCs w:val="24"/>
        </w:rPr>
        <w:t>2.5 申报图例</w:t>
      </w:r>
    </w:p>
    <w:p>
      <w:pPr>
        <w:pStyle w:val="26"/>
        <w:rPr>
          <w:rFonts w:hint="eastAsia"/>
        </w:rPr>
      </w:pPr>
    </w:p>
    <w:p>
      <w:pPr>
        <w:pStyle w:val="26"/>
        <w:jc w:val="center"/>
        <w:rPr>
          <w:rFonts w:hint="eastAsia"/>
        </w:rPr>
      </w:pPr>
      <w:r>
        <w:rPr>
          <w:rStyle w:val="65"/>
          <w:rFonts w:hint="eastAsia" w:ascii="宋体" w:hAnsi="宋体" w:cs="新宋体"/>
          <w:color w:val="auto"/>
        </w:rPr>
        <w:drawing>
          <wp:inline distT="0" distB="0" distL="114300" distR="114300">
            <wp:extent cx="5756910" cy="7152640"/>
            <wp:effectExtent l="0" t="0" r="15240" b="10160"/>
            <wp:docPr id="6" name="图片 17" descr="特装申报图例-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特装申报图例-17"/>
                    <pic:cNvPicPr>
                      <a:picLocks noChangeAspect="1"/>
                    </pic:cNvPicPr>
                  </pic:nvPicPr>
                  <pic:blipFill>
                    <a:blip r:embed="rId9"/>
                    <a:srcRect l="7022" t="6670" r="4556" b="3265"/>
                    <a:stretch>
                      <a:fillRect/>
                    </a:stretch>
                  </pic:blipFill>
                  <pic:spPr>
                    <a:xfrm>
                      <a:off x="0" y="0"/>
                      <a:ext cx="5756910" cy="7152640"/>
                    </a:xfrm>
                    <a:prstGeom prst="rect">
                      <a:avLst/>
                    </a:prstGeom>
                    <a:noFill/>
                    <a:ln>
                      <a:noFill/>
                    </a:ln>
                  </pic:spPr>
                </pic:pic>
              </a:graphicData>
            </a:graphic>
          </wp:inline>
        </w:drawing>
      </w:r>
    </w:p>
    <w:p>
      <w:pPr>
        <w:pStyle w:val="26"/>
        <w:rPr>
          <w:rFonts w:hint="eastAsia" w:ascii="华文细黑" w:hAnsi="华文细黑" w:eastAsia="华文细黑" w:cs="华文细黑"/>
          <w:color w:val="auto"/>
        </w:rPr>
      </w:pPr>
      <w:r>
        <w:rPr>
          <w:rFonts w:hint="eastAsia" w:ascii="华文细黑" w:hAnsi="华文细黑" w:eastAsia="华文细黑" w:cs="华文细黑"/>
          <w:color w:val="auto"/>
        </w:rPr>
        <w:t>以上手续请严格执行，若提供的手续不完备，将无法及时为您办理申报手续。此施工申报手续必须于</w:t>
      </w:r>
      <w:r>
        <w:rPr>
          <w:rFonts w:hint="eastAsia" w:ascii="华文细黑" w:hAnsi="华文细黑" w:eastAsia="华文细黑" w:cs="华文细黑"/>
          <w:color w:val="auto"/>
          <w:highlight w:val="none"/>
        </w:rPr>
        <w:t>201</w:t>
      </w:r>
      <w:r>
        <w:rPr>
          <w:rFonts w:hint="eastAsia" w:ascii="华文细黑" w:hAnsi="华文细黑" w:eastAsia="华文细黑" w:cs="华文细黑"/>
          <w:color w:val="auto"/>
          <w:highlight w:val="none"/>
          <w:lang w:val="en-US" w:eastAsia="zh-CN"/>
        </w:rPr>
        <w:t>9</w:t>
      </w:r>
      <w:r>
        <w:rPr>
          <w:rFonts w:hint="eastAsia" w:ascii="华文细黑" w:hAnsi="华文细黑" w:eastAsia="华文细黑" w:cs="华文细黑"/>
          <w:color w:val="auto"/>
          <w:highlight w:val="none"/>
        </w:rPr>
        <w:t>年</w:t>
      </w:r>
      <w:r>
        <w:rPr>
          <w:rFonts w:hint="eastAsia" w:ascii="华文细黑" w:hAnsi="华文细黑" w:eastAsia="华文细黑" w:cs="华文细黑"/>
          <w:color w:val="auto"/>
          <w:highlight w:val="none"/>
          <w:lang w:val="en-US" w:eastAsia="zh-CN"/>
        </w:rPr>
        <w:t>11</w:t>
      </w:r>
      <w:r>
        <w:rPr>
          <w:rFonts w:hint="eastAsia" w:ascii="华文细黑" w:hAnsi="华文细黑" w:eastAsia="华文细黑" w:cs="华文细黑"/>
          <w:color w:val="auto"/>
          <w:highlight w:val="none"/>
        </w:rPr>
        <w:t>月</w:t>
      </w:r>
      <w:r>
        <w:rPr>
          <w:rFonts w:hint="eastAsia" w:ascii="华文细黑" w:hAnsi="华文细黑" w:eastAsia="华文细黑" w:cs="华文细黑"/>
          <w:color w:val="auto"/>
          <w:highlight w:val="none"/>
          <w:lang w:val="en-US" w:eastAsia="zh-CN"/>
        </w:rPr>
        <w:t>8</w:t>
      </w:r>
      <w:r>
        <w:rPr>
          <w:rFonts w:hint="eastAsia" w:ascii="华文细黑" w:hAnsi="华文细黑" w:eastAsia="华文细黑" w:cs="华文细黑"/>
          <w:color w:val="auto"/>
          <w:highlight w:val="none"/>
        </w:rPr>
        <w:t>日前办理。晚于</w:t>
      </w:r>
      <w:r>
        <w:rPr>
          <w:rFonts w:hint="eastAsia" w:ascii="华文细黑" w:hAnsi="华文细黑" w:eastAsia="华文细黑" w:cs="华文细黑"/>
          <w:color w:val="auto"/>
          <w:highlight w:val="none"/>
          <w:lang w:val="en-US" w:eastAsia="zh-CN"/>
        </w:rPr>
        <w:t>11</w:t>
      </w:r>
      <w:r>
        <w:rPr>
          <w:rFonts w:hint="eastAsia" w:ascii="华文细黑" w:hAnsi="华文细黑" w:eastAsia="华文细黑" w:cs="华文细黑"/>
          <w:color w:val="auto"/>
          <w:highlight w:val="none"/>
        </w:rPr>
        <w:t>月</w:t>
      </w:r>
      <w:r>
        <w:rPr>
          <w:rFonts w:hint="eastAsia" w:ascii="华文细黑" w:hAnsi="华文细黑" w:eastAsia="华文细黑" w:cs="华文细黑"/>
          <w:color w:val="auto"/>
          <w:highlight w:val="none"/>
          <w:lang w:val="en-US" w:eastAsia="zh-CN"/>
        </w:rPr>
        <w:t>8</w:t>
      </w:r>
      <w:r>
        <w:rPr>
          <w:rFonts w:hint="eastAsia" w:ascii="华文细黑" w:hAnsi="华文细黑" w:eastAsia="华文细黑" w:cs="华文细黑"/>
          <w:color w:val="auto"/>
          <w:highlight w:val="none"/>
        </w:rPr>
        <w:t>日</w:t>
      </w:r>
      <w:r>
        <w:rPr>
          <w:rFonts w:hint="eastAsia" w:ascii="华文细黑" w:hAnsi="华文细黑" w:eastAsia="华文细黑" w:cs="华文细黑"/>
          <w:color w:val="auto"/>
        </w:rPr>
        <w:t>将</w:t>
      </w:r>
      <w:r>
        <w:rPr>
          <w:rFonts w:hint="eastAsia" w:ascii="华文细黑" w:hAnsi="华文细黑" w:eastAsia="华文细黑" w:cs="华文细黑"/>
          <w:color w:val="auto"/>
          <w:lang w:val="en-US" w:eastAsia="zh-CN"/>
        </w:rPr>
        <w:t>加收部分</w:t>
      </w:r>
      <w:r>
        <w:rPr>
          <w:rFonts w:hint="eastAsia" w:ascii="华文细黑" w:hAnsi="华文细黑" w:eastAsia="华文细黑" w:cs="华文细黑"/>
          <w:color w:val="auto"/>
        </w:rPr>
        <w:t>费用。</w:t>
      </w:r>
    </w:p>
    <w:p>
      <w:pPr>
        <w:pStyle w:val="26"/>
        <w:rPr>
          <w:rFonts w:hint="eastAsia" w:ascii="华文细黑" w:hAnsi="华文细黑" w:eastAsia="华文细黑" w:cs="华文细黑"/>
          <w:b/>
          <w:sz w:val="28"/>
          <w:szCs w:val="28"/>
          <w:shd w:val="clear" w:color="auto" w:fill="FFFFFF"/>
        </w:rPr>
      </w:pPr>
      <w:bookmarkStart w:id="40" w:name="_Toc19025_WPSOffice_Level2"/>
      <w:r>
        <w:rPr>
          <w:rFonts w:hint="eastAsia" w:ascii="华文细黑" w:hAnsi="华文细黑" w:eastAsia="华文细黑" w:cs="华文细黑"/>
          <w:b/>
          <w:sz w:val="28"/>
          <w:szCs w:val="28"/>
          <w:shd w:val="clear" w:color="auto" w:fill="FFFFFF"/>
          <w:lang w:val="en-US" w:eastAsia="zh-CN"/>
        </w:rPr>
        <w:t>3.</w:t>
      </w:r>
      <w:r>
        <w:rPr>
          <w:rFonts w:hint="eastAsia" w:ascii="华文细黑" w:hAnsi="华文细黑" w:eastAsia="华文细黑" w:cs="华文细黑"/>
          <w:b/>
          <w:sz w:val="28"/>
          <w:szCs w:val="28"/>
          <w:shd w:val="clear" w:color="auto" w:fill="FFFFFF"/>
        </w:rPr>
        <w:t>净地展位布撤展施工管理要求及细则</w:t>
      </w:r>
      <w:bookmarkEnd w:id="40"/>
    </w:p>
    <w:p>
      <w:pPr>
        <w:pStyle w:val="46"/>
        <w:spacing w:line="240" w:lineRule="auto"/>
        <w:ind w:left="42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1）严格遵守国家相关管理部门颁发的《大型活动安全管理条例》、《展览、展销</w:t>
      </w:r>
    </w:p>
    <w:p>
      <w:pPr>
        <w:pStyle w:val="46"/>
        <w:spacing w:line="240" w:lineRule="auto"/>
        <w:ind w:left="42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活动消防安全管理暂行规定》及举办地政府相关部门制定的相关管理规定。遵守</w:t>
      </w:r>
    </w:p>
    <w:p>
      <w:pPr>
        <w:pStyle w:val="46"/>
        <w:spacing w:line="240" w:lineRule="auto"/>
        <w:ind w:left="834" w:leftChars="397" w:firstLine="5"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2019第三届中国（厦门）国际绿色建筑产业博览会福建-地坪展</w:t>
      </w:r>
      <w:r>
        <w:rPr>
          <w:rFonts w:hint="eastAsia" w:ascii="华文细黑" w:hAnsi="华文细黑" w:eastAsia="华文细黑" w:cs="华文细黑"/>
          <w:sz w:val="24"/>
          <w:szCs w:val="24"/>
        </w:rPr>
        <w:t>组委会及主场服务商的施工管理规定和监督检查，确保展台结</w:t>
      </w:r>
      <w:r>
        <w:rPr>
          <w:rFonts w:hint="eastAsia" w:ascii="华文细黑" w:hAnsi="华文细黑" w:eastAsia="华文细黑" w:cs="华文细黑"/>
          <w:sz w:val="24"/>
          <w:szCs w:val="24"/>
          <w:lang w:val="en-US" w:eastAsia="zh-CN"/>
        </w:rPr>
        <w:t>构</w:t>
      </w:r>
      <w:r>
        <w:rPr>
          <w:rFonts w:hint="eastAsia" w:ascii="华文细黑" w:hAnsi="华文细黑" w:eastAsia="华文细黑" w:cs="华文细黑"/>
          <w:sz w:val="24"/>
          <w:szCs w:val="24"/>
        </w:rPr>
        <w:t>安全和人身安全。</w:t>
      </w:r>
    </w:p>
    <w:p>
      <w:pPr>
        <w:pStyle w:val="46"/>
        <w:spacing w:line="240" w:lineRule="auto"/>
        <w:ind w:left="42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2）展台不允许二层结构搭建。</w:t>
      </w:r>
    </w:p>
    <w:p>
      <w:pPr>
        <w:pStyle w:val="46"/>
        <w:spacing w:line="240" w:lineRule="auto"/>
        <w:ind w:left="900" w:leftChars="200" w:hanging="480" w:hangingChars="2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3）展台搭建不得超过规定高度：</w:t>
      </w:r>
      <w:r>
        <w:rPr>
          <w:rFonts w:hint="eastAsia" w:ascii="华文细黑" w:hAnsi="华文细黑" w:eastAsia="华文细黑" w:cs="华文细黑"/>
          <w:sz w:val="24"/>
          <w:szCs w:val="24"/>
          <w:lang w:val="en-US" w:eastAsia="zh-CN"/>
        </w:rPr>
        <w:t>特装展位限高5米，标准展位限高2.5米。</w:t>
      </w:r>
      <w:r>
        <w:rPr>
          <w:rFonts w:hint="eastAsia" w:ascii="华文细黑" w:hAnsi="华文细黑" w:eastAsia="华文细黑" w:cs="华文细黑"/>
          <w:b/>
          <w:sz w:val="24"/>
          <w:szCs w:val="24"/>
        </w:rPr>
        <w:t>禁止超高、超重物品进场</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4）搭建单位需根据展会施工管理规定进行设计施工，提供施工图纸审核并缴纳净</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地施工管理费及保证金。搭建单位搭建的展台面积应和地面划线面积相符，如</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搭建超出面积的展位，组委会和主场服务商有权按照消防要求拆除超线面积，</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所产生费用和责任相关搭建单位自行负责承担。</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5）搭建单位在现场必须设现场负责人，保证每个展台都配有一名能够随时跟进展</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台施工情况并及时配合大会进行相关工作的开展，在办理施工手续时一并登记</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备案。</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6）展台结构的设计施工强度应满足承受荷载所需的强度要求，严格按照国家安监</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部门的安全规定设计施工。搭建单位应确保展台整体结构具有满足荷载所需的</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强度和稳定性，钢结构材质符合国家标准、焊接和连接件符合安监部门安全要</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求标准。</w:t>
      </w:r>
    </w:p>
    <w:p>
      <w:pPr>
        <w:pStyle w:val="46"/>
        <w:spacing w:line="240" w:lineRule="auto"/>
        <w:ind w:left="960" w:hanging="960" w:hangingChars="4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7）展台结构主体墙落地厚度不小于150MM，以确保墙体和地面的接触面积；超</w:t>
      </w:r>
      <w:r>
        <w:rPr>
          <w:rFonts w:hint="eastAsia" w:ascii="华文细黑" w:hAnsi="华文细黑" w:eastAsia="华文细黑" w:cs="华文细黑"/>
          <w:sz w:val="24"/>
          <w:szCs w:val="24"/>
          <w:lang w:val="en-US" w:eastAsia="zh-CN"/>
        </w:rPr>
        <w:t>过</w:t>
      </w:r>
      <w:r>
        <w:rPr>
          <w:rFonts w:hint="eastAsia" w:ascii="华文细黑" w:hAnsi="华文细黑" w:eastAsia="华文细黑" w:cs="华文细黑"/>
          <w:sz w:val="24"/>
          <w:szCs w:val="24"/>
        </w:rPr>
        <w:t>6米长度，4米高度的大跨度墙体需加设钢结构，钢框架结构之间应在顶部加设横梁连接。背墙和前面展示部分应加钢结构连接，下部需加钢结构立柱支撑并加底盘，底盘直径不小于600MM，支撑立柱不得直接立于地台上方，保证展台整体的强度和稳定性。</w:t>
      </w:r>
    </w:p>
    <w:p>
      <w:pPr>
        <w:pStyle w:val="46"/>
        <w:spacing w:line="240" w:lineRule="auto"/>
        <w:ind w:left="42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8）所有顶部加设横梁连接的</w:t>
      </w:r>
      <w:r>
        <w:rPr>
          <w:rStyle w:val="76"/>
          <w:rFonts w:hint="eastAsia" w:ascii="华文细黑" w:hAnsi="华文细黑" w:eastAsia="华文细黑" w:cs="华文细黑"/>
          <w:color w:val="auto"/>
          <w:sz w:val="24"/>
          <w:szCs w:val="24"/>
        </w:rPr>
        <w:t>净地</w:t>
      </w:r>
      <w:r>
        <w:rPr>
          <w:rFonts w:hint="eastAsia" w:ascii="华文细黑" w:hAnsi="华文细黑" w:eastAsia="华文细黑" w:cs="华文细黑"/>
          <w:sz w:val="24"/>
          <w:szCs w:val="24"/>
        </w:rPr>
        <w:t>展位，须提供横梁与主体连接的细部结构图，结</w:t>
      </w:r>
    </w:p>
    <w:p>
      <w:pPr>
        <w:pStyle w:val="46"/>
        <w:spacing w:line="240" w:lineRule="auto"/>
        <w:ind w:left="420" w:firstLine="48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构强度应当满足荷载所需要的强度。横梁必须采用钢结构并连接牢固，主梁连 </w:t>
      </w:r>
    </w:p>
    <w:p>
      <w:pPr>
        <w:pStyle w:val="46"/>
        <w:spacing w:line="240" w:lineRule="auto"/>
        <w:ind w:left="420" w:firstLine="48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接必须要用不低于4.8级的螺栓（螺栓连接必须使用平垫、弹簧垫）连接、铆</w:t>
      </w:r>
    </w:p>
    <w:p>
      <w:pPr>
        <w:pStyle w:val="46"/>
        <w:spacing w:line="240" w:lineRule="auto"/>
        <w:ind w:left="420" w:firstLine="48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接或预制焊接，严禁使用铅丝、铁丝、钢丝等搭接、捆绑等连接方式。</w:t>
      </w:r>
    </w:p>
    <w:p>
      <w:pPr>
        <w:pStyle w:val="46"/>
        <w:spacing w:line="240" w:lineRule="auto"/>
        <w:ind w:left="42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9）展台搭建材料的选用要符合国家有关部门关于临时性建筑材料的使用标准，并</w:t>
      </w:r>
    </w:p>
    <w:p>
      <w:pPr>
        <w:pStyle w:val="46"/>
        <w:spacing w:line="240" w:lineRule="auto"/>
        <w:ind w:left="420" w:firstLine="48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结合展览会的特点合理选材，选材要符合国家环保要求。另外必须使用阻燃或</w:t>
      </w:r>
    </w:p>
    <w:p>
      <w:pPr>
        <w:pStyle w:val="46"/>
        <w:spacing w:line="240" w:lineRule="auto"/>
        <w:ind w:left="420" w:firstLine="48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难燃的材料，禁止使用弹力布、窗帘布、纱制品等各类针棉制品装饰展台。仿</w:t>
      </w:r>
    </w:p>
    <w:p>
      <w:pPr>
        <w:pStyle w:val="46"/>
        <w:spacing w:line="240" w:lineRule="auto"/>
        <w:ind w:left="420" w:firstLine="48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棉麻布沙质感的装修装饰材料及特殊膜制品，其燃烧性能均不得低于国家规定</w:t>
      </w:r>
    </w:p>
    <w:p>
      <w:pPr>
        <w:pStyle w:val="46"/>
        <w:spacing w:line="240" w:lineRule="auto"/>
        <w:ind w:left="899" w:leftChars="428" w:firstLine="64" w:firstLineChars="27"/>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的B1级标准（难燃），并须在施工申报时提供该材料样品及国家权威材料检测机构提供的产品检验报告。</w:t>
      </w:r>
    </w:p>
    <w:p>
      <w:pPr>
        <w:pStyle w:val="46"/>
        <w:spacing w:line="240" w:lineRule="auto"/>
        <w:ind w:left="42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10）使用玻璃材质装饰展台，必须采用钢化玻璃，要保证玻璃的强度、厚度（幕墙</w:t>
      </w:r>
    </w:p>
    <w:p>
      <w:pPr>
        <w:pStyle w:val="46"/>
        <w:spacing w:line="240" w:lineRule="auto"/>
        <w:ind w:left="899" w:leftChars="428" w:firstLine="64" w:firstLineChars="27"/>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厚度不小于10MM），玻璃的安装方式应合理、可靠，必须制作金属框架或采用专业五金件进行玻璃安装，框架及五金件与玻璃材料之间要使用弹性材料做垫层，确保玻璃使用安全。大面积玻璃材料应粘贴明显标识，以防破碎伤人。若使用玻璃地台，则结构支撑立柱、墙体必须固定于地台下方，不得直接在光滑玻璃面上方搭建展台结构，确保结构稳定。</w:t>
      </w:r>
    </w:p>
    <w:p>
      <w:pPr>
        <w:pStyle w:val="46"/>
        <w:spacing w:line="240" w:lineRule="auto"/>
        <w:ind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11）主体承重钢结构立柱底部应加底盘（不低于600MM）以增加立柱的受力面积，</w:t>
      </w:r>
    </w:p>
    <w:p>
      <w:pPr>
        <w:pStyle w:val="46"/>
        <w:spacing w:line="240" w:lineRule="auto"/>
        <w:ind w:left="893" w:leftChars="342" w:hanging="175" w:hangingChars="73"/>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加强展台的牢固性。立柱应使用直径100MM以上、壁厚2MM以上的钢管，底部焊接底盘，上部焊接法兰盘，以增加连接点接触面积，必须使用整管，不能拼接，立柱不能直接放置在地台上，必须直接落地接触地面以增加主体稳定性。</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12）严禁在展馆的顶部、柱子、围栏及各种专用管线上私自吊挂、捆绑展台结构及</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装饰物。</w:t>
      </w:r>
    </w:p>
    <w:p>
      <w:pPr>
        <w:pStyle w:val="46"/>
        <w:tabs>
          <w:tab w:val="left" w:pos="420"/>
        </w:tabs>
        <w:spacing w:line="240" w:lineRule="auto"/>
        <w:ind w:left="900" w:leftChars="200" w:hanging="480" w:hangingChars="2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13）搭建期间所有进馆人员必须佩戴安全帽及施工证件，每个展台需到主场服务商处领取安全员证件，由每个展位的安全负责人佩戴，进行现场安全管理。施工现场要规范着装，施工人员严禁穿西装、拖鞋。安全负责人要佩戴袖标。</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14）在高空作业时，应使用合格安全的提升工具及操作平台，施工人员应系好安全</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带，并按要求佩戴使用相关劳动防护用品。为保护人身安全，周围要设置安全</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区，并有专人看护。安全区须张贴明显的警示标志。</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15）展位内电路、电气的安装，须持有效证件，按照国家电气规定标准进行施工（随</w:t>
      </w:r>
    </w:p>
    <w:p>
      <w:pPr>
        <w:pStyle w:val="46"/>
        <w:spacing w:line="240" w:lineRule="auto"/>
        <w:ind w:firstLine="72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身携带电工证件，以备核查）。必须保证各专业的施工人员只从事自身专业的</w:t>
      </w:r>
    </w:p>
    <w:p>
      <w:pPr>
        <w:pStyle w:val="46"/>
        <w:spacing w:line="240" w:lineRule="auto"/>
        <w:ind w:firstLine="72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施工，严禁跨专业施工、作业。</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16）展馆内严禁进行木结构初加工，严禁大面积喷涂油漆、刮腻子、刷乳胶漆。</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17）严禁提前撤展。严禁野蛮施工。拆除展台严禁直接推倒、拉倒等行为。拆除展</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台时需设置安全警戒区，并设置指挥人员。</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18）严禁外包非施工搭建专业公司进行施工搭建、撤展。谁报馆谁施工搭建原则，</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严禁转包。</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19）严禁展馆防火门下搭建展架、展台、堆放各种杂物及广告宣传物品，防火门开</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关保障畅通。</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20）搭建展台不得遮挡展馆内的消防设施、电气设备、紧急出口和观众疏散通道，</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净地展台设计施工上必须留两个及两个以上出入口。</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21）展台施工严禁携带、使用易燃易爆及违禁化学物品（如：酒精、稀料、汽油等）；</w:t>
      </w:r>
    </w:p>
    <w:p>
      <w:pPr>
        <w:pStyle w:val="46"/>
        <w:spacing w:line="240" w:lineRule="auto"/>
        <w:ind w:firstLine="72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严禁使用气割、焊割、电焊、喷灯等明火作业；严禁使用电锯、电刨等加工作</w:t>
      </w:r>
    </w:p>
    <w:p>
      <w:pPr>
        <w:pStyle w:val="46"/>
        <w:spacing w:line="240" w:lineRule="auto"/>
        <w:ind w:firstLine="72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业工具。</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22）施工区域及展台搭建完毕后必须按规定张贴禁烟标识和安全疏散通道标识等消</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防安全警示标志（200MM*300MM）。 </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23）展馆里面及禁烟区域内严禁吸烟，喝酒及其他生火祭奠仪式，严禁使用电子火</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花等道具。</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24）动力电源和照明电源必须用不同电箱分开接驳，严禁私拉电源、水源、超负荷</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用电。</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25）易燃搭建材料与电器、线缆之间须使用石棉垫进行隔离处理，电箱须安装漏电</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保护开关。</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26）电线须进行穿管，电路须使用接线端子，严禁使用音箱线、麻花线及不达标线</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缆接电。</w:t>
      </w:r>
    </w:p>
    <w:p>
      <w:pPr>
        <w:pStyle w:val="46"/>
        <w:spacing w:line="240" w:lineRule="auto"/>
        <w:ind w:left="960" w:hanging="960" w:hangingChars="4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27）展台封顶面积严禁超出所承租展位面积的30%，封顶材料必须与灯具保持15公分以上距离，且对所选用材料进行防火阻燃处理。</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28）灯箱应采用难燃或阻燃材料制作。所装灯具及其发热部件，如镇流器、低压变</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压器等发热元件要与木结构保持安全距离或设非燃隔离层，并远离可燃物，线</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缆要分色穿绝缘管。灯箱须设有散热孔及刷防火涂料。禁止使用塑料外壳镇流</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器、高温发热灯具（如：碘钨灯、太阳广告灯等）。</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29）搭建地台时必须在展位范围内部地台边缘处设置无障碍通道通向公共通道，防</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止地台与地面的落差造成公众人身伤害。地台转角需设置防撞物或者制作安全</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角。     </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30）展馆内严禁明火作业。</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31）未办理进馆手续，严禁私自进馆；未办理加班手续，严禁私自加班或者违规延</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时加班。</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32）未经大会许可严禁私带大功率电锯、电刨、切割机、空压机，焊机进入展馆及</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施工现场。</w:t>
      </w:r>
    </w:p>
    <w:p>
      <w:pPr>
        <w:pStyle w:val="46"/>
        <w:spacing w:line="240" w:lineRule="auto"/>
        <w:ind w:left="960" w:hanging="960" w:hangingChars="4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33）布展期间，未经申报严禁使用展期用电；展台所申报24小时用电不能作为间</w:t>
      </w:r>
    </w:p>
    <w:p>
      <w:pPr>
        <w:pStyle w:val="46"/>
        <w:spacing w:line="240" w:lineRule="auto"/>
        <w:ind w:left="958" w:leftChars="456"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断电源（UPS）使用。在24小时用电电器上张贴明显24小时用电标识（标识在现场服务台领取）以备断电后核查。</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34）搭建单位应在规定时间和区域内施工，并负责防火、防盗等安全工作。</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35）严禁损坏展馆设备、设施；严禁在展馆地面、墙面上打孔、钉钉、刷漆、涂色；</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严禁盗用展具。</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36）搭建展位高于相邻展位时，超出方需在展台背面进行白色平整美化处理；在背</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面严禁布置宣传文字或者企业标志；严禁私自将相邻展位的结构作为自身展位</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搭建结构或者支撑结构来使用。</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37）展台搭建存在安全隐患的搭建单位在接到主场服务商发给的整改通知书后，必</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须按时整改，整改完成后，及时通知主场服务商检查整改结果做消单处理。</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38）搭建单位在施工时，应随时清理废弃物品，搭建展台的材料应码放整齐，严禁</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占用消防通道，保持展馆内通道畅通。严禁在展馆内设置存放物品的仓库。要</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在规定时间内拆除展位，完成清运搭建垃圾，禁止堆放及丢弃搭建垃圾在任何</w:t>
      </w:r>
    </w:p>
    <w:p>
      <w:pPr>
        <w:pStyle w:val="46"/>
        <w:spacing w:line="240" w:lineRule="auto"/>
        <w:ind w:firstLine="84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公共区域。</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39）展会现场严禁寻衅滋事、打架斗殴、不提前上报相关管理部门私自维权等个人</w:t>
      </w:r>
    </w:p>
    <w:p>
      <w:pPr>
        <w:pStyle w:val="46"/>
        <w:spacing w:line="240" w:lineRule="auto"/>
        <w:ind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行为。</w:t>
      </w:r>
    </w:p>
    <w:p>
      <w:pPr>
        <w:pStyle w:val="46"/>
        <w:numPr>
          <w:ilvl w:val="0"/>
          <w:numId w:val="6"/>
        </w:numPr>
        <w:spacing w:line="240" w:lineRule="auto"/>
        <w:ind w:left="360" w:leftChars="0" w:firstLine="0" w:firstLineChars="0"/>
        <w:jc w:val="left"/>
        <w:rPr>
          <w:rFonts w:hint="eastAsia" w:ascii="华文细黑" w:hAnsi="华文细黑" w:eastAsia="华文细黑" w:cs="华文细黑"/>
          <w:sz w:val="24"/>
          <w:szCs w:val="24"/>
          <w:lang w:eastAsia="zh-CN"/>
        </w:rPr>
      </w:pPr>
      <w:r>
        <w:rPr>
          <w:rFonts w:hint="eastAsia" w:ascii="华文细黑" w:hAnsi="华文细黑" w:eastAsia="华文细黑" w:cs="华文细黑"/>
          <w:sz w:val="24"/>
          <w:szCs w:val="24"/>
        </w:rPr>
        <w:t>展会开展期间，搭建单位须留电工、木工等人员现场值班，发现问题及时处理</w:t>
      </w:r>
      <w:r>
        <w:rPr>
          <w:rFonts w:hint="eastAsia" w:ascii="华文细黑" w:hAnsi="华文细黑" w:eastAsia="华文细黑" w:cs="华文细黑"/>
          <w:sz w:val="24"/>
          <w:szCs w:val="24"/>
          <w:lang w:eastAsia="zh-CN"/>
        </w:rPr>
        <w:t>。</w:t>
      </w:r>
    </w:p>
    <w:p>
      <w:pPr>
        <w:autoSpaceDE w:val="0"/>
        <w:autoSpaceDN w:val="0"/>
        <w:adjustRightInd w:val="0"/>
        <w:spacing w:line="240" w:lineRule="auto"/>
        <w:jc w:val="left"/>
        <w:rPr>
          <w:rFonts w:hint="eastAsia" w:ascii="华文细黑" w:hAnsi="华文细黑" w:eastAsia="华文细黑" w:cs="华文细黑"/>
          <w:b/>
          <w:kern w:val="0"/>
          <w:sz w:val="32"/>
          <w:szCs w:val="32"/>
          <w:bdr w:val="single" w:color="auto" w:sz="4" w:space="0"/>
        </w:rPr>
      </w:pPr>
      <w:bookmarkStart w:id="41" w:name="_Toc11384_WPSOffice_Level1"/>
      <w:bookmarkStart w:id="42" w:name="_Toc4786_WPSOffice_Level1"/>
      <w:r>
        <w:rPr>
          <w:rFonts w:hint="eastAsia" w:ascii="华文细黑" w:hAnsi="华文细黑" w:eastAsia="华文细黑" w:cs="华文细黑"/>
          <w:b/>
          <w:kern w:val="0"/>
          <w:sz w:val="32"/>
          <w:szCs w:val="32"/>
          <w:lang w:val="en-US" w:eastAsia="zh-CN"/>
        </w:rPr>
        <w:t>三</w:t>
      </w:r>
      <w:r>
        <w:rPr>
          <w:rFonts w:hint="eastAsia" w:ascii="华文细黑" w:hAnsi="华文细黑" w:eastAsia="华文细黑" w:cs="华文细黑"/>
          <w:b/>
          <w:kern w:val="0"/>
          <w:sz w:val="32"/>
          <w:szCs w:val="32"/>
        </w:rPr>
        <w:t>、安全及秩序管理</w:t>
      </w:r>
      <w:bookmarkEnd w:id="41"/>
      <w:bookmarkEnd w:id="42"/>
    </w:p>
    <w:p>
      <w:pPr>
        <w:autoSpaceDE w:val="0"/>
        <w:autoSpaceDN w:val="0"/>
        <w:adjustRightInd w:val="0"/>
        <w:spacing w:line="240" w:lineRule="auto"/>
        <w:jc w:val="left"/>
        <w:outlineLvl w:val="0"/>
        <w:rPr>
          <w:rFonts w:hint="eastAsia" w:ascii="华文细黑" w:hAnsi="华文细黑" w:eastAsia="华文细黑" w:cs="华文细黑"/>
          <w:b/>
          <w:sz w:val="28"/>
          <w:szCs w:val="28"/>
          <w:shd w:val="clear" w:color="auto" w:fill="FFFFFF"/>
        </w:rPr>
      </w:pPr>
      <w:bookmarkStart w:id="43" w:name="_Toc24041_WPSOffice_Level2"/>
      <w:r>
        <w:rPr>
          <w:rFonts w:hint="eastAsia" w:ascii="华文细黑" w:hAnsi="华文细黑" w:eastAsia="华文细黑" w:cs="华文细黑"/>
          <w:b/>
          <w:sz w:val="28"/>
          <w:szCs w:val="28"/>
          <w:shd w:val="clear" w:color="auto" w:fill="FFFFFF"/>
        </w:rPr>
        <w:t>1</w:t>
      </w:r>
      <w:r>
        <w:rPr>
          <w:rFonts w:hint="eastAsia" w:ascii="华文细黑" w:hAnsi="华文细黑" w:eastAsia="华文细黑" w:cs="华文细黑"/>
          <w:b/>
          <w:sz w:val="28"/>
          <w:szCs w:val="28"/>
          <w:shd w:val="clear" w:color="auto" w:fill="FFFFFF"/>
          <w:lang w:val="en-US" w:eastAsia="zh-CN"/>
        </w:rPr>
        <w:t>.</w:t>
      </w:r>
      <w:r>
        <w:rPr>
          <w:rFonts w:hint="eastAsia" w:ascii="华文细黑" w:hAnsi="华文细黑" w:eastAsia="华文细黑" w:cs="华文细黑"/>
          <w:b/>
          <w:sz w:val="28"/>
          <w:szCs w:val="28"/>
          <w:shd w:val="clear" w:color="auto" w:fill="FFFFFF"/>
        </w:rPr>
        <w:t>展区安全须知</w:t>
      </w:r>
      <w:bookmarkEnd w:id="43"/>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为确保</w:t>
      </w:r>
      <w:r>
        <w:rPr>
          <w:rFonts w:hint="eastAsia" w:ascii="华文细黑" w:hAnsi="华文细黑" w:eastAsia="华文细黑" w:cs="华文细黑"/>
          <w:sz w:val="24"/>
          <w:szCs w:val="24"/>
          <w:lang w:val="en-US" w:eastAsia="zh-CN"/>
        </w:rPr>
        <w:t>2019第三届中国（厦门）国际绿色建筑产业博览会福建-地坪展</w:t>
      </w:r>
      <w:r>
        <w:rPr>
          <w:rFonts w:hint="eastAsia" w:ascii="华文细黑" w:hAnsi="华文细黑" w:eastAsia="华文细黑" w:cs="华文细黑"/>
          <w:sz w:val="24"/>
          <w:szCs w:val="24"/>
        </w:rPr>
        <w:t>圆满成功，保护参展单位和参观观众的财产及人身安全，防止火灾事故以及人身伤亡事故发生，现将展区安全及防火须知敬告如下：</w:t>
      </w:r>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（1）各参展及搭建单位须严格遵守《中华人民共和国消防法》、《机关、团体、企业、事业单位消防安全管理规定》 以及厦门国际会展中心安全消防规定，明确消防安全责任人，并与</w:t>
      </w:r>
      <w:r>
        <w:rPr>
          <w:rFonts w:hint="eastAsia" w:ascii="华文细黑" w:hAnsi="华文细黑" w:eastAsia="华文细黑" w:cs="华文细黑"/>
          <w:sz w:val="24"/>
          <w:szCs w:val="24"/>
          <w:lang w:val="en-US" w:eastAsia="zh-CN"/>
        </w:rPr>
        <w:t>2019第三届中国（厦门）国际绿色建筑产业博览会</w:t>
      </w:r>
      <w:r>
        <w:rPr>
          <w:rFonts w:hint="eastAsia" w:ascii="华文细黑" w:hAnsi="华文细黑" w:eastAsia="华文细黑" w:cs="华文细黑"/>
          <w:sz w:val="24"/>
          <w:szCs w:val="24"/>
        </w:rPr>
        <w:t>组委会签订相关承诺书。</w:t>
      </w:r>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（2）展位装饰及搭建须符合安全规范，在装饰前须将展位装饰方案、图纸、使用材料报组委会审图组审查。所有展位装饰及搭建方案经审查合格后，须与</w:t>
      </w:r>
      <w:r>
        <w:rPr>
          <w:rFonts w:hint="eastAsia" w:ascii="华文细黑" w:hAnsi="华文细黑" w:eastAsia="华文细黑" w:cs="华文细黑"/>
          <w:sz w:val="24"/>
          <w:szCs w:val="24"/>
          <w:lang w:val="en-US" w:eastAsia="zh-CN"/>
        </w:rPr>
        <w:t>2019第三届中国（厦门）国际绿色建筑产业博览会</w:t>
      </w:r>
      <w:r>
        <w:rPr>
          <w:rFonts w:hint="eastAsia" w:ascii="华文细黑" w:hAnsi="华文细黑" w:eastAsia="华文细黑" w:cs="华文细黑"/>
          <w:sz w:val="24"/>
          <w:szCs w:val="24"/>
        </w:rPr>
        <w:t>组委会签订</w:t>
      </w:r>
      <w:r>
        <w:rPr>
          <w:rStyle w:val="76"/>
          <w:rFonts w:hint="eastAsia" w:ascii="华文细黑" w:hAnsi="华文细黑" w:eastAsia="华文细黑" w:cs="华文细黑"/>
          <w:color w:val="auto"/>
          <w:sz w:val="24"/>
          <w:szCs w:val="24"/>
        </w:rPr>
        <w:t>净地</w:t>
      </w:r>
      <w:r>
        <w:rPr>
          <w:rFonts w:hint="eastAsia" w:ascii="华文细黑" w:hAnsi="华文细黑" w:eastAsia="华文细黑" w:cs="华文细黑"/>
          <w:sz w:val="24"/>
          <w:szCs w:val="24"/>
        </w:rPr>
        <w:t>展位搭建结构安全、消防安全、施工安全承诺书，方可办理入场布展手续。特装展位的设计、搭建有两个以上出入口，不占用消防通道、主通道。安全出口处的展位设计、造型；以为开放式，消防通道、货运门、消防安全门处不设计墙体确保展位的通透性不遮挡安全出口；并粘贴好出入口指示、警示标志、禁烟标志。</w:t>
      </w:r>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（3）展区内严禁吸烟，严禁携带易燃、易爆物品及宠物入内。展位装饰必须使用不燃或难燃材料，严禁使用易燃、有毒、有害材料进行装饰。如确需使用易燃材料，须按要求做好相应防火处理。</w:t>
      </w:r>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（4）严禁私拉电源线、私自安装射灯、太阳灯等照明灯具，严禁使用液化石油气罐、煤气炉及电热器具。</w:t>
      </w:r>
    </w:p>
    <w:p>
      <w:pPr>
        <w:autoSpaceDE w:val="0"/>
        <w:autoSpaceDN w:val="0"/>
        <w:adjustRightInd w:val="0"/>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（5）严禁使用明火、切割、打磨、电焊、气焊、喷漆、台式电锯等进行危险作业。</w:t>
      </w:r>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6）展位内电路、电气的安装，须持有效电工资格证件的人员按照国家电气规程标准施工、安装和使用（展会期间电工必须随身携带电工证件，以备查验）。照明灯具、霓虹灯、各种用电设施及材料应具有国家专业安全认证，电源镇流器不得安装在可燃材料上，必须使用标准的双护套阻燃线缆连接电器设备，严禁使用其它形式线缆连接电器设备，展台用电负荷不得超过所接驳电箱的总负荷。</w:t>
      </w:r>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7）施工人员必须配备安全带，安全帽等劳动保护用品并按要求使用和佩戴；现场施工或高空作业须使用安全的提升工具及操作平台；搭建现场应设安全员负责展位内的施工安全工作。对于违反规定者，组委会将按照规定要求其整改及处理。　</w:t>
      </w:r>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8）严禁利用展馆顶部网架吊装展台结构；严禁在防火卷帘门下、公共消防疏散通道和黄线范围内搭建展台和堆放材料、展品及其他物品；严禁遮挡、埋压、圈占及堵塞展馆内的消防设备设施，包括灭火器、消火栓、红外线探测对射、自动灭火系统及其管道、防火门、各种隔离门、安全紧急出口门、监控探头、消防通道等。</w:t>
      </w:r>
    </w:p>
    <w:p>
      <w:pPr>
        <w:autoSpaceDE w:val="0"/>
        <w:autoSpaceDN w:val="0"/>
        <w:adjustRightInd w:val="0"/>
        <w:spacing w:line="240" w:lineRule="auto"/>
        <w:ind w:left="600"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（9）禁止拆除、搬移和损坏展馆的设施设备。搭建单位不得擅自动用展馆配电箱、水源等固定设施。</w:t>
      </w:r>
    </w:p>
    <w:p>
      <w:pPr>
        <w:autoSpaceDE w:val="0"/>
        <w:autoSpaceDN w:val="0"/>
        <w:adjustRightInd w:val="0"/>
        <w:spacing w:line="240" w:lineRule="auto"/>
        <w:ind w:left="720" w:hanging="720" w:hangingChars="300"/>
        <w:jc w:val="left"/>
        <w:rPr>
          <w:rFonts w:hint="eastAsia" w:ascii="华文细黑" w:hAnsi="华文细黑" w:eastAsia="华文细黑" w:cs="华文细黑"/>
          <w:b/>
          <w:sz w:val="28"/>
          <w:szCs w:val="28"/>
        </w:rPr>
      </w:pPr>
      <w:r>
        <w:rPr>
          <w:rFonts w:hint="eastAsia" w:ascii="华文细黑" w:hAnsi="华文细黑" w:eastAsia="华文细黑" w:cs="华文细黑"/>
          <w:sz w:val="24"/>
          <w:szCs w:val="24"/>
        </w:rPr>
        <w:t>（10）对违反上述规定的参展及搭建单位，</w:t>
      </w:r>
      <w:r>
        <w:rPr>
          <w:rFonts w:hint="eastAsia" w:ascii="华文细黑" w:hAnsi="华文细黑" w:eastAsia="华文细黑" w:cs="华文细黑"/>
          <w:sz w:val="24"/>
          <w:szCs w:val="24"/>
          <w:lang w:val="en-US" w:eastAsia="zh-CN"/>
        </w:rPr>
        <w:t>2019第三届中国（厦门）国际绿色建筑产业博览会福建-地坪展</w:t>
      </w:r>
      <w:r>
        <w:rPr>
          <w:rFonts w:hint="eastAsia" w:ascii="华文细黑" w:hAnsi="华文细黑" w:eastAsia="华文细黑" w:cs="华文细黑"/>
          <w:sz w:val="24"/>
          <w:szCs w:val="24"/>
        </w:rPr>
        <w:t>相关管理者有权采取要求其停止施工、立即纠正、限时整改等措施；拒不服从管理的，将被取消参展及搭建资格，并移送公安机关处理；对因违反上述规定导致的一切安全事故和后果，由相关参展及搭建单位负全部责任，并承担由此造成的一切责任和经济损失。</w:t>
      </w:r>
    </w:p>
    <w:p>
      <w:pPr>
        <w:autoSpaceDE w:val="0"/>
        <w:autoSpaceDN w:val="0"/>
        <w:adjustRightInd w:val="0"/>
        <w:spacing w:line="240" w:lineRule="auto"/>
        <w:outlineLvl w:val="0"/>
        <w:rPr>
          <w:rFonts w:hint="eastAsia" w:ascii="华文细黑" w:hAnsi="华文细黑" w:eastAsia="华文细黑" w:cs="华文细黑"/>
          <w:b/>
          <w:sz w:val="28"/>
          <w:szCs w:val="28"/>
        </w:rPr>
      </w:pPr>
      <w:bookmarkStart w:id="44" w:name="_Toc3954_WPSOffice_Level2"/>
      <w:r>
        <w:rPr>
          <w:rFonts w:hint="eastAsia" w:ascii="华文细黑" w:hAnsi="华文细黑" w:eastAsia="华文细黑" w:cs="华文细黑"/>
          <w:b/>
          <w:sz w:val="28"/>
          <w:szCs w:val="28"/>
        </w:rPr>
        <w:t>2</w:t>
      </w:r>
      <w:r>
        <w:rPr>
          <w:rFonts w:hint="eastAsia" w:ascii="华文细黑" w:hAnsi="华文细黑" w:eastAsia="华文细黑" w:cs="华文细黑"/>
          <w:b/>
          <w:sz w:val="28"/>
          <w:szCs w:val="28"/>
          <w:lang w:val="en-US" w:eastAsia="zh-CN"/>
        </w:rPr>
        <w:t>.</w:t>
      </w:r>
      <w:r>
        <w:rPr>
          <w:rFonts w:hint="eastAsia" w:ascii="华文细黑" w:hAnsi="华文细黑" w:eastAsia="华文细黑" w:cs="华文细黑"/>
          <w:b/>
          <w:sz w:val="28"/>
          <w:szCs w:val="28"/>
        </w:rPr>
        <w:t>卫生保障规则</w:t>
      </w:r>
      <w:bookmarkEnd w:id="44"/>
    </w:p>
    <w:p>
      <w:pPr>
        <w:autoSpaceDE w:val="0"/>
        <w:autoSpaceDN w:val="0"/>
        <w:adjustRightInd w:val="0"/>
        <w:spacing w:line="240" w:lineRule="auto"/>
        <w:ind w:firstLine="480" w:firstLineChars="2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（1）布展期，展台搭建材料的包装、废料、碎片等不得阻塞展馆内通道，搭建单</w:t>
      </w:r>
    </w:p>
    <w:p>
      <w:pPr>
        <w:autoSpaceDE w:val="0"/>
        <w:autoSpaceDN w:val="0"/>
        <w:adjustRightInd w:val="0"/>
        <w:spacing w:line="240" w:lineRule="auto"/>
        <w:ind w:firstLine="1080" w:firstLineChars="4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位每天清场前必须清理搭建垃圾、日常垃圾。</w:t>
      </w:r>
    </w:p>
    <w:p>
      <w:pPr>
        <w:autoSpaceDE w:val="0"/>
        <w:autoSpaceDN w:val="0"/>
        <w:adjustRightInd w:val="0"/>
        <w:spacing w:line="240" w:lineRule="auto"/>
        <w:ind w:left="1079" w:leftChars="228"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（2）展会期间，各展位自行负责保洁工作，大会仅提供公共区域的一般清洁工作；除公共区域的日常垃圾清洁，各展位内的展品、展具清洁由参展单位自行清洁及维护。</w:t>
      </w:r>
    </w:p>
    <w:p>
      <w:pPr>
        <w:autoSpaceDE w:val="0"/>
        <w:autoSpaceDN w:val="0"/>
        <w:adjustRightInd w:val="0"/>
        <w:spacing w:line="240" w:lineRule="auto"/>
        <w:ind w:left="1079" w:leftChars="228" w:hanging="600" w:hangingChars="2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（3）展期内，各展位当日累积垃圾请于每日闭馆前自行清运到指定垃圾点，不得堆放在通道及公共区域。</w:t>
      </w:r>
    </w:p>
    <w:p>
      <w:pPr>
        <w:autoSpaceDE w:val="0"/>
        <w:autoSpaceDN w:val="0"/>
        <w:adjustRightInd w:val="0"/>
        <w:spacing w:line="240" w:lineRule="auto"/>
        <w:ind w:left="1079" w:leftChars="228" w:hanging="600" w:hangingChars="250"/>
        <w:jc w:val="left"/>
        <w:rPr>
          <w:rFonts w:hint="eastAsia" w:ascii="宋体" w:hAnsi="宋体" w:eastAsia="华文细黑" w:cs="新宋体"/>
          <w:sz w:val="24"/>
          <w:szCs w:val="24"/>
          <w:lang w:eastAsia="zh-CN"/>
        </w:rPr>
      </w:pPr>
      <w:r>
        <w:rPr>
          <w:rFonts w:hint="eastAsia" w:ascii="华文细黑" w:hAnsi="华文细黑" w:eastAsia="华文细黑" w:cs="华文细黑"/>
          <w:sz w:val="24"/>
          <w:szCs w:val="24"/>
        </w:rPr>
        <w:t>（4）撤展期，搭建单位及展位负责人必须按照“展会时间安排”所规定的时间段内清理现场所有材料，不得野蛮施工，展台拆除材料禁止堆放在货运通道，严禁肆意在展馆外围丢弃拆除材料。清理完成后及时与主场服务商清洁负责人签字确认</w:t>
      </w:r>
      <w:r>
        <w:rPr>
          <w:rFonts w:hint="eastAsia" w:ascii="华文细黑" w:hAnsi="华文细黑" w:eastAsia="华文细黑" w:cs="华文细黑"/>
          <w:sz w:val="24"/>
          <w:szCs w:val="24"/>
          <w:lang w:eastAsia="zh-CN"/>
        </w:rPr>
        <w:t>。</w:t>
      </w:r>
    </w:p>
    <w:p>
      <w:pPr>
        <w:autoSpaceDE w:val="0"/>
        <w:autoSpaceDN w:val="0"/>
        <w:adjustRightInd w:val="0"/>
        <w:spacing w:line="240" w:lineRule="auto"/>
        <w:ind w:firstLine="480" w:firstLineChars="200"/>
        <w:jc w:val="left"/>
        <w:rPr>
          <w:rFonts w:hint="eastAsia" w:ascii="宋体" w:hAnsi="宋体" w:cs="新宋体"/>
          <w:sz w:val="24"/>
          <w:szCs w:val="24"/>
        </w:rPr>
      </w:pPr>
    </w:p>
    <w:p>
      <w:pPr>
        <w:autoSpaceDE w:val="0"/>
        <w:autoSpaceDN w:val="0"/>
        <w:adjustRightInd w:val="0"/>
        <w:spacing w:line="240" w:lineRule="auto"/>
        <w:jc w:val="left"/>
        <w:rPr>
          <w:rFonts w:hint="eastAsia" w:ascii="华文细黑" w:hAnsi="华文细黑" w:eastAsia="华文细黑" w:cs="华文细黑"/>
          <w:b/>
          <w:kern w:val="0"/>
          <w:sz w:val="32"/>
          <w:szCs w:val="32"/>
          <w:bdr w:val="single" w:color="auto" w:sz="4" w:space="0"/>
        </w:rPr>
      </w:pPr>
      <w:bookmarkStart w:id="45" w:name="_Toc17159_WPSOffice_Level1"/>
      <w:bookmarkStart w:id="46" w:name="_Toc18048_WPSOffice_Level1"/>
      <w:r>
        <w:rPr>
          <w:rFonts w:hint="eastAsia" w:ascii="华文细黑" w:hAnsi="华文细黑" w:eastAsia="华文细黑" w:cs="华文细黑"/>
          <w:b/>
          <w:kern w:val="0"/>
          <w:sz w:val="32"/>
          <w:szCs w:val="32"/>
          <w:lang w:val="en-US" w:eastAsia="zh-CN"/>
        </w:rPr>
        <w:t>四</w:t>
      </w:r>
      <w:r>
        <w:rPr>
          <w:rFonts w:hint="eastAsia" w:ascii="华文细黑" w:hAnsi="华文细黑" w:eastAsia="华文细黑" w:cs="华文细黑"/>
          <w:b/>
          <w:kern w:val="0"/>
          <w:sz w:val="32"/>
          <w:szCs w:val="32"/>
        </w:rPr>
        <w:t>、净地施工保证金</w:t>
      </w:r>
      <w:bookmarkEnd w:id="45"/>
      <w:bookmarkEnd w:id="46"/>
    </w:p>
    <w:p>
      <w:pPr>
        <w:autoSpaceDE w:val="0"/>
        <w:autoSpaceDN w:val="0"/>
        <w:adjustRightInd w:val="0"/>
        <w:spacing w:line="240" w:lineRule="auto"/>
        <w:jc w:val="left"/>
        <w:outlineLvl w:val="0"/>
        <w:rPr>
          <w:rFonts w:hint="eastAsia" w:ascii="华文细黑" w:hAnsi="华文细黑" w:eastAsia="华文细黑" w:cs="华文细黑"/>
          <w:b/>
          <w:sz w:val="28"/>
          <w:szCs w:val="28"/>
          <w:shd w:val="clear" w:color="auto" w:fill="FFFFFF"/>
        </w:rPr>
      </w:pPr>
      <w:bookmarkStart w:id="47" w:name="_Toc7448_WPSOffice_Level2"/>
      <w:r>
        <w:rPr>
          <w:rFonts w:hint="eastAsia" w:ascii="华文细黑" w:hAnsi="华文细黑" w:eastAsia="华文细黑" w:cs="华文细黑"/>
          <w:b/>
          <w:sz w:val="28"/>
          <w:szCs w:val="28"/>
          <w:shd w:val="clear" w:color="auto" w:fill="FFFFFF"/>
        </w:rPr>
        <w:t>1</w:t>
      </w:r>
      <w:r>
        <w:rPr>
          <w:rFonts w:hint="eastAsia" w:ascii="华文细黑" w:hAnsi="华文细黑" w:eastAsia="华文细黑" w:cs="华文细黑"/>
          <w:b/>
          <w:sz w:val="28"/>
          <w:szCs w:val="28"/>
          <w:shd w:val="clear" w:color="auto" w:fill="FFFFFF"/>
          <w:lang w:val="en-US" w:eastAsia="zh-CN"/>
        </w:rPr>
        <w:t>.</w:t>
      </w:r>
      <w:r>
        <w:rPr>
          <w:rFonts w:hint="eastAsia" w:ascii="华文细黑" w:hAnsi="华文细黑" w:eastAsia="华文细黑" w:cs="华文细黑"/>
          <w:b/>
          <w:sz w:val="28"/>
          <w:szCs w:val="28"/>
          <w:shd w:val="clear" w:color="auto" w:fill="FFFFFF"/>
        </w:rPr>
        <w:t>收取标准及缴纳、退还方式</w:t>
      </w:r>
      <w:bookmarkEnd w:id="47"/>
    </w:p>
    <w:p>
      <w:pPr>
        <w:autoSpaceDE w:val="0"/>
        <w:autoSpaceDN w:val="0"/>
        <w:adjustRightInd w:val="0"/>
        <w:spacing w:line="240" w:lineRule="auto"/>
        <w:ind w:firstLine="480" w:firstLineChars="2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每个净地展位在图纸申报前均需缴纳相应档次的净地施工保证金（含施工、消防、清洁保证金）</w:t>
      </w:r>
    </w:p>
    <w:p>
      <w:pPr>
        <w:pStyle w:val="36"/>
        <w:numPr>
          <w:ilvl w:val="0"/>
          <w:numId w:val="7"/>
        </w:numPr>
        <w:autoSpaceDE w:val="0"/>
        <w:autoSpaceDN w:val="0"/>
        <w:adjustRightInd w:val="0"/>
        <w:spacing w:line="240" w:lineRule="auto"/>
        <w:ind w:left="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净地施工保证金收取标准</w:t>
      </w:r>
    </w:p>
    <w:tbl>
      <w:tblPr>
        <w:tblStyle w:val="17"/>
        <w:tblW w:w="9298" w:type="dxa"/>
        <w:jc w:val="center"/>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783"/>
        <w:gridCol w:w="3939"/>
        <w:gridCol w:w="2088"/>
        <w:gridCol w:w="1488"/>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179" w:hRule="atLeast"/>
          <w:jc w:val="center"/>
        </w:trPr>
        <w:tc>
          <w:tcPr>
            <w:tcW w:w="5722" w:type="dxa"/>
            <w:gridSpan w:val="2"/>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项 目</w:t>
            </w:r>
          </w:p>
        </w:tc>
        <w:tc>
          <w:tcPr>
            <w:tcW w:w="2088"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单 位</w:t>
            </w:r>
          </w:p>
        </w:tc>
        <w:tc>
          <w:tcPr>
            <w:tcW w:w="1488"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价格(RMB)</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cantSplit/>
          <w:trHeight w:val="179" w:hRule="atLeast"/>
          <w:jc w:val="center"/>
        </w:trPr>
        <w:tc>
          <w:tcPr>
            <w:tcW w:w="178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Style w:val="76"/>
                <w:rFonts w:hint="eastAsia" w:ascii="华文细黑" w:hAnsi="华文细黑" w:eastAsia="华文细黑" w:cs="华文细黑"/>
                <w:color w:val="auto"/>
                <w:sz w:val="24"/>
                <w:szCs w:val="24"/>
              </w:rPr>
              <w:t>净地</w:t>
            </w:r>
            <w:r>
              <w:rPr>
                <w:rFonts w:hint="eastAsia" w:ascii="华文细黑" w:hAnsi="华文细黑" w:eastAsia="华文细黑" w:cs="华文细黑"/>
                <w:sz w:val="24"/>
                <w:szCs w:val="24"/>
              </w:rPr>
              <w:t>施工</w:t>
            </w:r>
          </w:p>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保证金</w:t>
            </w:r>
          </w:p>
        </w:tc>
        <w:tc>
          <w:tcPr>
            <w:tcW w:w="393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0平米以下</w:t>
            </w:r>
          </w:p>
        </w:tc>
        <w:tc>
          <w:tcPr>
            <w:tcW w:w="20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4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000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cantSplit/>
          <w:trHeight w:val="179" w:hRule="atLeast"/>
          <w:jc w:val="center"/>
        </w:trPr>
        <w:tc>
          <w:tcPr>
            <w:tcW w:w="178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p>
        </w:tc>
        <w:tc>
          <w:tcPr>
            <w:tcW w:w="393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50</w:t>
            </w:r>
            <w:r>
              <w:rPr>
                <w:rFonts w:hint="eastAsia" w:ascii="华文细黑" w:hAnsi="华文细黑" w:eastAsia="华文细黑" w:cs="华文细黑"/>
                <w:sz w:val="24"/>
                <w:szCs w:val="24"/>
              </w:rPr>
              <w:t>-</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00平米（包括100平米）</w:t>
            </w:r>
          </w:p>
        </w:tc>
        <w:tc>
          <w:tcPr>
            <w:tcW w:w="20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4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7</w:t>
            </w:r>
            <w:r>
              <w:rPr>
                <w:rFonts w:hint="eastAsia" w:ascii="华文细黑" w:hAnsi="华文细黑" w:eastAsia="华文细黑" w:cs="华文细黑"/>
                <w:sz w:val="24"/>
                <w:szCs w:val="24"/>
              </w:rPr>
              <w:t>000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cantSplit/>
          <w:trHeight w:val="277" w:hRule="atLeast"/>
          <w:jc w:val="center"/>
        </w:trPr>
        <w:tc>
          <w:tcPr>
            <w:tcW w:w="178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p>
        </w:tc>
        <w:tc>
          <w:tcPr>
            <w:tcW w:w="393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00平米以上（包括200平米）</w:t>
            </w:r>
          </w:p>
        </w:tc>
        <w:tc>
          <w:tcPr>
            <w:tcW w:w="20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4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12</w:t>
            </w:r>
            <w:r>
              <w:rPr>
                <w:rFonts w:hint="eastAsia" w:ascii="华文细黑" w:hAnsi="华文细黑" w:eastAsia="华文细黑" w:cs="华文细黑"/>
                <w:sz w:val="24"/>
                <w:szCs w:val="24"/>
              </w:rPr>
              <w:t>000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77" w:hRule="atLeast"/>
          <w:jc w:val="center"/>
        </w:trPr>
        <w:tc>
          <w:tcPr>
            <w:tcW w:w="9298" w:type="dxa"/>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auto"/>
              <w:ind w:left="840" w:hanging="840" w:hangingChars="35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备注：1.每个净地展位在图纸申报前均需缴纳相应档次的净地施工保证金（含施工、消防、清洁保证金）；</w:t>
            </w:r>
          </w:p>
          <w:p>
            <w:pPr>
              <w:autoSpaceDE w:val="0"/>
              <w:autoSpaceDN w:val="0"/>
              <w:adjustRightInd w:val="0"/>
              <w:spacing w:line="240" w:lineRule="auto"/>
              <w:ind w:firstLine="484" w:firstLineChars="202"/>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2.保证金需由搭建单位缴纳；</w:t>
            </w:r>
          </w:p>
          <w:p>
            <w:pPr>
              <w:autoSpaceDE w:val="0"/>
              <w:autoSpaceDN w:val="0"/>
              <w:adjustRightInd w:val="0"/>
              <w:spacing w:line="240" w:lineRule="auto"/>
              <w:ind w:firstLine="484" w:firstLineChars="202"/>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3.保证金退还方式：</w:t>
            </w:r>
          </w:p>
          <w:p>
            <w:pPr>
              <w:autoSpaceDE w:val="0"/>
              <w:autoSpaceDN w:val="0"/>
              <w:adjustRightInd w:val="0"/>
              <w:spacing w:line="240" w:lineRule="auto"/>
              <w:ind w:left="900" w:leftChars="200" w:hanging="480" w:hangingChars="2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1）现金缴纳押金，退款人须携收款单原件及本人身份证至现场服务台，留存收款账号及开户行，于撤展结束后</w:t>
            </w:r>
            <w:r>
              <w:rPr>
                <w:rFonts w:hint="eastAsia" w:ascii="华文细黑" w:hAnsi="华文细黑" w:eastAsia="华文细黑" w:cs="华文细黑"/>
                <w:sz w:val="24"/>
                <w:szCs w:val="24"/>
                <w:lang w:val="en-US" w:eastAsia="zh-CN"/>
              </w:rPr>
              <w:t>三</w:t>
            </w:r>
            <w:r>
              <w:rPr>
                <w:rFonts w:hint="eastAsia" w:ascii="华文细黑" w:hAnsi="华文细黑" w:eastAsia="华文细黑" w:cs="华文细黑"/>
                <w:sz w:val="24"/>
                <w:szCs w:val="24"/>
              </w:rPr>
              <w:t>十个工作日内退还。</w:t>
            </w:r>
          </w:p>
          <w:p>
            <w:pPr>
              <w:autoSpaceDE w:val="0"/>
              <w:autoSpaceDN w:val="0"/>
              <w:adjustRightInd w:val="0"/>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2）电汇缴纳保证金将在撤展结束后</w:t>
            </w:r>
            <w:r>
              <w:rPr>
                <w:rFonts w:hint="eastAsia" w:ascii="华文细黑" w:hAnsi="华文细黑" w:eastAsia="华文细黑" w:cs="华文细黑"/>
                <w:sz w:val="24"/>
                <w:szCs w:val="24"/>
                <w:lang w:val="en-US" w:eastAsia="zh-CN"/>
              </w:rPr>
              <w:t>三</w:t>
            </w:r>
            <w:r>
              <w:rPr>
                <w:rFonts w:hint="eastAsia" w:ascii="华文细黑" w:hAnsi="华文细黑" w:eastAsia="华文细黑" w:cs="华文细黑"/>
                <w:sz w:val="24"/>
                <w:szCs w:val="24"/>
              </w:rPr>
              <w:t xml:space="preserve">十个工作日内退回原账户。 </w:t>
            </w:r>
          </w:p>
        </w:tc>
      </w:tr>
    </w:tbl>
    <w:p>
      <w:pPr>
        <w:adjustRightInd w:val="0"/>
        <w:snapToGrid w:val="0"/>
        <w:spacing w:line="400" w:lineRule="exact"/>
        <w:jc w:val="left"/>
        <w:rPr>
          <w:rFonts w:hint="eastAsia" w:ascii="华文细黑" w:hAnsi="华文细黑" w:eastAsia="华文细黑" w:cs="华文细黑"/>
          <w:b/>
          <w:bCs/>
          <w:color w:val="0000FF"/>
          <w:szCs w:val="21"/>
        </w:rPr>
      </w:pPr>
      <w:r>
        <w:rPr>
          <w:rFonts w:hint="eastAsia" w:ascii="华文细黑" w:hAnsi="华文细黑" w:eastAsia="华文细黑" w:cs="华文细黑"/>
          <w:b/>
          <w:bCs/>
          <w:color w:val="0000FF"/>
          <w:szCs w:val="21"/>
          <w:lang w:eastAsia="zh-CN"/>
        </w:rPr>
        <w:t>申请邮箱</w:t>
      </w:r>
      <w:r>
        <w:rPr>
          <w:rFonts w:hint="eastAsia" w:ascii="华文细黑" w:hAnsi="华文细黑" w:eastAsia="华文细黑" w:cs="华文细黑"/>
          <w:b/>
          <w:bCs/>
          <w:color w:val="0000FF"/>
          <w:szCs w:val="21"/>
        </w:rPr>
        <w:t>：</w:t>
      </w:r>
      <w:r>
        <w:rPr>
          <w:rFonts w:hint="eastAsia" w:ascii="华文细黑" w:hAnsi="华文细黑" w:eastAsia="华文细黑" w:cs="华文细黑"/>
          <w:b/>
          <w:bCs/>
          <w:color w:val="0000FF"/>
          <w:szCs w:val="21"/>
          <w:highlight w:val="none"/>
          <w:lang w:val="en-US" w:eastAsia="zh-CN"/>
        </w:rPr>
        <w:t>fjfloor@163.com</w:t>
      </w:r>
      <w:r>
        <w:rPr>
          <w:rFonts w:hint="eastAsia" w:ascii="华文细黑" w:hAnsi="华文细黑" w:eastAsia="华文细黑" w:cs="华文细黑"/>
          <w:b/>
          <w:bCs/>
          <w:color w:val="0000FF"/>
          <w:szCs w:val="21"/>
          <w:highlight w:val="none"/>
        </w:rPr>
        <w:t xml:space="preserve"> </w:t>
      </w:r>
      <w:r>
        <w:rPr>
          <w:rFonts w:hint="eastAsia" w:ascii="华文细黑" w:hAnsi="华文细黑" w:eastAsia="华文细黑" w:cs="华文细黑"/>
          <w:b/>
          <w:bCs/>
          <w:color w:val="0000FF"/>
          <w:szCs w:val="21"/>
        </w:rPr>
        <w:t>提交订单，订单在全部付款收到后生效。</w:t>
      </w:r>
    </w:p>
    <w:p>
      <w:pPr>
        <w:adjustRightInd w:val="0"/>
        <w:snapToGrid w:val="0"/>
        <w:spacing w:line="400" w:lineRule="exact"/>
        <w:jc w:val="left"/>
        <w:rPr>
          <w:rFonts w:hint="default" w:ascii="华文细黑" w:hAnsi="华文细黑" w:eastAsia="华文细黑" w:cs="华文细黑"/>
          <w:b/>
          <w:bCs/>
          <w:color w:val="0000FF"/>
          <w:szCs w:val="21"/>
          <w:lang w:val="en-US" w:eastAsia="zh-CN"/>
        </w:rPr>
      </w:pPr>
      <w:r>
        <w:rPr>
          <w:rFonts w:hint="eastAsia" w:ascii="华文细黑" w:hAnsi="华文细黑" w:eastAsia="华文细黑" w:cs="华文细黑"/>
          <w:b/>
          <w:bCs/>
          <w:color w:val="0000FF"/>
          <w:szCs w:val="21"/>
          <w:lang w:eastAsia="zh-CN"/>
        </w:rPr>
        <w:t>组委会</w:t>
      </w:r>
      <w:r>
        <w:rPr>
          <w:rFonts w:hint="eastAsia" w:ascii="华文细黑" w:hAnsi="华文细黑" w:eastAsia="华文细黑" w:cs="华文细黑"/>
          <w:b/>
          <w:bCs/>
          <w:color w:val="0000FF"/>
          <w:szCs w:val="21"/>
        </w:rPr>
        <w:t>联系人：</w:t>
      </w:r>
      <w:r>
        <w:rPr>
          <w:rFonts w:hint="eastAsia" w:ascii="华文细黑" w:hAnsi="华文细黑" w:eastAsia="华文细黑" w:cs="华文细黑"/>
          <w:b/>
          <w:bCs/>
          <w:color w:val="0000FF"/>
          <w:szCs w:val="21"/>
          <w:lang w:eastAsia="zh-CN"/>
        </w:rPr>
        <w:t>颜秘书长</w:t>
      </w:r>
      <w:r>
        <w:rPr>
          <w:rFonts w:hint="eastAsia" w:ascii="华文细黑" w:hAnsi="华文细黑" w:eastAsia="华文细黑" w:cs="华文细黑"/>
          <w:b/>
          <w:bCs/>
          <w:color w:val="0000FF"/>
          <w:szCs w:val="21"/>
          <w:lang w:val="en-US" w:eastAsia="zh-CN"/>
        </w:rPr>
        <w:t xml:space="preserve"> 18259281820/吕主任 13799338358/</w:t>
      </w:r>
      <w:r>
        <w:rPr>
          <w:rFonts w:hint="eastAsia" w:ascii="华文细黑" w:hAnsi="华文细黑" w:eastAsia="华文细黑" w:cs="华文细黑"/>
          <w:b/>
          <w:bCs/>
          <w:color w:val="0000FF"/>
          <w:szCs w:val="21"/>
          <w:lang w:eastAsia="zh-CN"/>
        </w:rPr>
        <w:t>徐建东</w:t>
      </w:r>
      <w:r>
        <w:rPr>
          <w:rFonts w:hint="eastAsia" w:ascii="华文细黑" w:hAnsi="华文细黑" w:eastAsia="华文细黑" w:cs="华文细黑"/>
          <w:b/>
          <w:bCs/>
          <w:color w:val="0000FF"/>
          <w:szCs w:val="21"/>
          <w:lang w:val="en-US" w:eastAsia="zh-CN"/>
        </w:rPr>
        <w:t xml:space="preserve"> 13950105593（微信同号）</w:t>
      </w:r>
    </w:p>
    <w:p>
      <w:pPr>
        <w:adjustRightInd w:val="0"/>
        <w:snapToGrid w:val="0"/>
        <w:spacing w:line="400" w:lineRule="exact"/>
        <w:jc w:val="both"/>
        <w:rPr>
          <w:rFonts w:hint="eastAsia" w:ascii="华文细黑" w:hAnsi="华文细黑" w:eastAsia="华文细黑" w:cs="华文细黑"/>
          <w:b/>
          <w:bCs/>
          <w:szCs w:val="21"/>
          <w:lang w:val="en-US" w:eastAsia="zh-CN"/>
        </w:rPr>
      </w:pPr>
    </w:p>
    <w:p>
      <w:pPr>
        <w:adjustRightInd w:val="0"/>
        <w:snapToGrid w:val="0"/>
        <w:spacing w:line="400" w:lineRule="exact"/>
        <w:jc w:val="center"/>
        <w:rPr>
          <w:rFonts w:hint="eastAsia" w:ascii="华文细黑" w:hAnsi="华文细黑" w:eastAsia="华文细黑" w:cs="华文细黑"/>
          <w:b/>
          <w:bCs/>
          <w:szCs w:val="21"/>
          <w:lang w:val="en-US" w:eastAsia="zh-CN"/>
        </w:rPr>
      </w:pPr>
    </w:p>
    <w:p>
      <w:pPr>
        <w:pStyle w:val="41"/>
        <w:numPr>
          <w:ilvl w:val="0"/>
          <w:numId w:val="7"/>
        </w:numPr>
        <w:autoSpaceDE w:val="0"/>
        <w:autoSpaceDN w:val="0"/>
        <w:adjustRightInd w:val="0"/>
        <w:spacing w:line="240" w:lineRule="auto"/>
        <w:ind w:left="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缴纳方式：</w:t>
      </w:r>
    </w:p>
    <w:p>
      <w:pPr>
        <w:autoSpaceDE w:val="0"/>
        <w:autoSpaceDN w:val="0"/>
        <w:adjustRightInd w:val="0"/>
        <w:spacing w:line="240" w:lineRule="auto"/>
        <w:ind w:firstLine="484" w:firstLineChars="202"/>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净地施工保证金请汇至如下指定账户：</w:t>
      </w:r>
    </w:p>
    <w:p>
      <w:pPr>
        <w:autoSpaceDE w:val="0"/>
        <w:autoSpaceDN w:val="0"/>
        <w:adjustRightInd w:val="0"/>
        <w:spacing w:line="240" w:lineRule="auto"/>
        <w:ind w:firstLine="484" w:firstLineChars="202"/>
        <w:jc w:val="left"/>
        <w:rPr>
          <w:rFonts w:hint="eastAsia" w:ascii="微软雅黑" w:hAnsi="微软雅黑" w:eastAsia="微软雅黑"/>
          <w:color w:val="0000FF"/>
          <w:sz w:val="48"/>
          <w:szCs w:val="48"/>
        </w:rPr>
      </w:pPr>
      <w:r>
        <w:rPr>
          <w:rFonts w:hint="eastAsia" w:ascii="华文细黑" w:hAnsi="华文细黑" w:eastAsia="华文细黑" w:cs="华文细黑"/>
          <w:color w:val="0000FF"/>
          <w:sz w:val="24"/>
          <w:szCs w:val="24"/>
        </w:rPr>
        <w:t>收款单位：福建省地坪行业协会</w:t>
      </w:r>
    </w:p>
    <w:p>
      <w:pPr>
        <w:pStyle w:val="41"/>
        <w:autoSpaceDE w:val="0"/>
        <w:autoSpaceDN w:val="0"/>
        <w:adjustRightInd w:val="0"/>
        <w:spacing w:line="240" w:lineRule="auto"/>
        <w:ind w:firstLine="484" w:firstLineChars="202"/>
        <w:jc w:val="left"/>
        <w:rPr>
          <w:rFonts w:hint="eastAsia" w:ascii="华文细黑" w:hAnsi="华文细黑" w:eastAsia="华文细黑" w:cs="华文细黑"/>
          <w:color w:val="0000FF"/>
          <w:kern w:val="2"/>
          <w:sz w:val="24"/>
          <w:szCs w:val="24"/>
          <w:lang w:val="en-US" w:eastAsia="zh-CN" w:bidi="ar-SA"/>
        </w:rPr>
      </w:pPr>
      <w:r>
        <w:rPr>
          <w:rFonts w:hint="eastAsia" w:ascii="华文细黑" w:hAnsi="华文细黑" w:eastAsia="华文细黑" w:cs="华文细黑"/>
          <w:color w:val="0000FF"/>
          <w:kern w:val="2"/>
          <w:sz w:val="24"/>
          <w:szCs w:val="24"/>
          <w:lang w:val="en-US" w:eastAsia="zh-CN" w:bidi="ar-SA"/>
        </w:rPr>
        <w:t>开户银行：中国建设银行福州上江城支行</w:t>
      </w:r>
    </w:p>
    <w:p>
      <w:pPr>
        <w:pStyle w:val="41"/>
        <w:autoSpaceDE w:val="0"/>
        <w:autoSpaceDN w:val="0"/>
        <w:adjustRightInd w:val="0"/>
        <w:spacing w:line="240" w:lineRule="auto"/>
        <w:ind w:firstLine="484" w:firstLineChars="202"/>
        <w:jc w:val="left"/>
        <w:rPr>
          <w:rFonts w:hint="eastAsia" w:ascii="华文细黑" w:hAnsi="华文细黑" w:eastAsia="华文细黑" w:cs="华文细黑"/>
          <w:color w:val="0000FF"/>
          <w:kern w:val="2"/>
          <w:sz w:val="24"/>
          <w:szCs w:val="24"/>
          <w:lang w:val="en-US" w:eastAsia="zh-CN" w:bidi="ar-SA"/>
        </w:rPr>
      </w:pPr>
      <w:r>
        <w:rPr>
          <w:rFonts w:hint="eastAsia" w:ascii="华文细黑" w:hAnsi="华文细黑" w:eastAsia="华文细黑" w:cs="华文细黑"/>
          <w:color w:val="0000FF"/>
          <w:kern w:val="2"/>
          <w:sz w:val="24"/>
          <w:szCs w:val="24"/>
          <w:lang w:val="en-US" w:eastAsia="zh-CN" w:bidi="ar-SA"/>
        </w:rPr>
        <w:t>账    号：35050187770700000056</w:t>
      </w:r>
    </w:p>
    <w:p>
      <w:pPr>
        <w:pStyle w:val="41"/>
        <w:autoSpaceDE w:val="0"/>
        <w:autoSpaceDN w:val="0"/>
        <w:adjustRightInd w:val="0"/>
        <w:spacing w:line="240" w:lineRule="auto"/>
        <w:ind w:left="0" w:leftChars="0" w:firstLine="480" w:firstLineChars="200"/>
        <w:jc w:val="left"/>
        <w:rPr>
          <w:rFonts w:hint="eastAsia" w:ascii="华文细黑" w:hAnsi="华文细黑" w:eastAsia="华文细黑" w:cs="华文细黑"/>
          <w:b/>
          <w:sz w:val="24"/>
          <w:szCs w:val="24"/>
        </w:rPr>
      </w:pPr>
      <w:r>
        <w:rPr>
          <w:rFonts w:hint="eastAsia" w:ascii="华文细黑" w:hAnsi="华文细黑" w:eastAsia="华文细黑" w:cs="华文细黑"/>
          <w:b/>
          <w:sz w:val="24"/>
          <w:szCs w:val="24"/>
        </w:rPr>
        <w:t>备   注：请支付款项时注明相应展位号。</w:t>
      </w:r>
    </w:p>
    <w:p>
      <w:pPr>
        <w:pStyle w:val="41"/>
        <w:autoSpaceDE w:val="0"/>
        <w:autoSpaceDN w:val="0"/>
        <w:adjustRightInd w:val="0"/>
        <w:spacing w:line="240" w:lineRule="auto"/>
        <w:ind w:left="424" w:leftChars="202" w:firstLine="1132" w:firstLineChars="471"/>
        <w:jc w:val="left"/>
        <w:rPr>
          <w:rFonts w:hint="eastAsia" w:ascii="华文细黑" w:hAnsi="华文细黑" w:eastAsia="华文细黑" w:cs="华文细黑"/>
          <w:b/>
          <w:kern w:val="0"/>
          <w:sz w:val="24"/>
          <w:szCs w:val="24"/>
        </w:rPr>
      </w:pPr>
      <w:r>
        <w:rPr>
          <w:rFonts w:hint="eastAsia" w:ascii="华文细黑" w:hAnsi="华文细黑" w:eastAsia="华文细黑" w:cs="华文细黑"/>
          <w:b/>
          <w:kern w:val="0"/>
          <w:sz w:val="24"/>
          <w:szCs w:val="24"/>
        </w:rPr>
        <w:t>保证金不接受个人名义汇款，以个人名义汇款造成后期保证金无</w:t>
      </w:r>
    </w:p>
    <w:p>
      <w:pPr>
        <w:pStyle w:val="41"/>
        <w:autoSpaceDE w:val="0"/>
        <w:autoSpaceDN w:val="0"/>
        <w:adjustRightInd w:val="0"/>
        <w:spacing w:line="240" w:lineRule="auto"/>
        <w:ind w:left="424" w:leftChars="202" w:firstLine="1132" w:firstLineChars="471"/>
        <w:jc w:val="left"/>
        <w:rPr>
          <w:rFonts w:hint="eastAsia" w:ascii="华文细黑" w:hAnsi="华文细黑" w:eastAsia="华文细黑" w:cs="华文细黑"/>
          <w:b/>
          <w:kern w:val="0"/>
          <w:sz w:val="24"/>
          <w:szCs w:val="24"/>
        </w:rPr>
      </w:pPr>
      <w:r>
        <w:rPr>
          <w:rFonts w:hint="eastAsia" w:ascii="华文细黑" w:hAnsi="华文细黑" w:eastAsia="华文细黑" w:cs="华文细黑"/>
          <w:b/>
          <w:kern w:val="0"/>
          <w:sz w:val="24"/>
          <w:szCs w:val="24"/>
        </w:rPr>
        <w:t>法退款的后果，责任自负。</w:t>
      </w:r>
    </w:p>
    <w:p>
      <w:pPr>
        <w:autoSpaceDE w:val="0"/>
        <w:autoSpaceDN w:val="0"/>
        <w:spacing w:line="240" w:lineRule="auto"/>
        <w:rPr>
          <w:rFonts w:hint="eastAsia" w:ascii="华文细黑" w:hAnsi="华文细黑" w:eastAsia="华文细黑" w:cs="华文细黑"/>
          <w:b/>
          <w:sz w:val="28"/>
          <w:szCs w:val="28"/>
        </w:rPr>
      </w:pPr>
      <w:bookmarkStart w:id="48" w:name="_Toc6101_WPSOffice_Level2"/>
      <w:r>
        <w:rPr>
          <w:rFonts w:hint="eastAsia" w:ascii="华文细黑" w:hAnsi="华文细黑" w:eastAsia="华文细黑" w:cs="华文细黑"/>
          <w:b/>
          <w:sz w:val="28"/>
          <w:szCs w:val="28"/>
        </w:rPr>
        <w:t>2</w:t>
      </w:r>
      <w:r>
        <w:rPr>
          <w:rFonts w:hint="eastAsia" w:ascii="华文细黑" w:hAnsi="华文细黑" w:eastAsia="华文细黑" w:cs="华文细黑"/>
          <w:b/>
          <w:sz w:val="28"/>
          <w:szCs w:val="28"/>
          <w:lang w:val="en-US" w:eastAsia="zh-CN"/>
        </w:rPr>
        <w:t>.</w:t>
      </w:r>
      <w:r>
        <w:rPr>
          <w:rFonts w:hint="eastAsia" w:ascii="华文细黑" w:hAnsi="华文细黑" w:eastAsia="华文细黑" w:cs="华文细黑"/>
          <w:b/>
          <w:sz w:val="28"/>
          <w:szCs w:val="28"/>
        </w:rPr>
        <w:t>施工</w:t>
      </w:r>
      <w:r>
        <w:rPr>
          <w:rFonts w:hint="eastAsia" w:ascii="华文细黑" w:hAnsi="华文细黑" w:eastAsia="华文细黑" w:cs="华文细黑"/>
          <w:b/>
          <w:color w:val="000000"/>
          <w:sz w:val="28"/>
          <w:szCs w:val="28"/>
        </w:rPr>
        <w:t>违约处理</w:t>
      </w:r>
      <w:r>
        <w:rPr>
          <w:rFonts w:hint="eastAsia" w:ascii="华文细黑" w:hAnsi="华文细黑" w:eastAsia="华文细黑" w:cs="华文细黑"/>
          <w:b/>
          <w:sz w:val="28"/>
          <w:szCs w:val="28"/>
        </w:rPr>
        <w:t>管理标准</w:t>
      </w:r>
      <w:bookmarkEnd w:id="48"/>
    </w:p>
    <w:p>
      <w:pPr>
        <w:spacing w:line="240" w:lineRule="auto"/>
        <w:ind w:left="426"/>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范围：本标准中包括以下五个大项：</w:t>
      </w:r>
    </w:p>
    <w:p>
      <w:pPr>
        <w:spacing w:line="240" w:lineRule="auto"/>
        <w:ind w:left="426"/>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（1）结构安全</w:t>
      </w:r>
    </w:p>
    <w:p>
      <w:pPr>
        <w:spacing w:line="240" w:lineRule="auto"/>
        <w:ind w:left="426"/>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（2）消防、电检安全</w:t>
      </w:r>
    </w:p>
    <w:p>
      <w:pPr>
        <w:spacing w:line="240" w:lineRule="auto"/>
        <w:ind w:left="426"/>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（3）施工安全</w:t>
      </w:r>
    </w:p>
    <w:p>
      <w:pPr>
        <w:spacing w:line="240" w:lineRule="auto"/>
        <w:ind w:left="426"/>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（4）遵守大会管理</w:t>
      </w:r>
    </w:p>
    <w:p>
      <w:pPr>
        <w:spacing w:line="240" w:lineRule="auto"/>
        <w:ind w:left="426"/>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（5）维护场馆设备设施</w:t>
      </w:r>
    </w:p>
    <w:p>
      <w:pPr>
        <w:spacing w:line="240" w:lineRule="auto"/>
        <w:jc w:val="left"/>
        <w:rPr>
          <w:rFonts w:hint="eastAsia" w:ascii="华文细黑" w:hAnsi="华文细黑" w:eastAsia="华文细黑" w:cs="华文细黑"/>
          <w:szCs w:val="21"/>
        </w:rPr>
      </w:pPr>
      <w:r>
        <w:rPr>
          <w:rFonts w:hint="eastAsia" w:ascii="华文细黑" w:hAnsi="华文细黑" w:eastAsia="华文细黑" w:cs="华文细黑"/>
          <w:sz w:val="24"/>
          <w:szCs w:val="24"/>
        </w:rPr>
        <w:t>本标准适用于在</w:t>
      </w:r>
      <w:r>
        <w:rPr>
          <w:rFonts w:hint="eastAsia" w:ascii="华文细黑" w:hAnsi="华文细黑" w:eastAsia="华文细黑" w:cs="华文细黑"/>
          <w:sz w:val="24"/>
          <w:szCs w:val="24"/>
          <w:lang w:val="en-US" w:eastAsia="zh-CN"/>
        </w:rPr>
        <w:t>2019第三届中国（厦门）国际绿色建筑产业博览会福建-地坪展</w:t>
      </w:r>
      <w:r>
        <w:rPr>
          <w:rFonts w:hint="eastAsia" w:ascii="华文细黑" w:hAnsi="华文细黑" w:eastAsia="华文细黑" w:cs="华文细黑"/>
          <w:sz w:val="24"/>
          <w:szCs w:val="24"/>
        </w:rPr>
        <w:t>范围内进行工程服务的搭建商。</w:t>
      </w:r>
    </w:p>
    <w:p>
      <w:pPr>
        <w:pStyle w:val="41"/>
        <w:numPr>
          <w:ilvl w:val="0"/>
          <w:numId w:val="8"/>
        </w:numPr>
        <w:spacing w:line="240" w:lineRule="auto"/>
        <w:ind w:firstLineChars="0"/>
        <w:jc w:val="left"/>
        <w:rPr>
          <w:rFonts w:hint="eastAsia" w:ascii="华文细黑" w:hAnsi="华文细黑" w:eastAsia="华文细黑" w:cs="华文细黑"/>
          <w:b/>
          <w:sz w:val="24"/>
          <w:szCs w:val="24"/>
          <w:shd w:val="clear" w:color="auto" w:fill="FFFFFF"/>
        </w:rPr>
      </w:pPr>
      <w:r>
        <w:rPr>
          <w:rFonts w:hint="eastAsia" w:ascii="华文细黑" w:hAnsi="华文细黑" w:eastAsia="华文细黑" w:cs="华文细黑"/>
          <w:b/>
          <w:sz w:val="24"/>
          <w:szCs w:val="24"/>
          <w:shd w:val="clear" w:color="auto" w:fill="FFFFFF"/>
        </w:rPr>
        <w:t>结构安全</w:t>
      </w:r>
    </w:p>
    <w:tbl>
      <w:tblPr>
        <w:tblStyle w:val="17"/>
        <w:tblW w:w="92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3"/>
        <w:gridCol w:w="5928"/>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653" w:type="dxa"/>
            <w:tcBorders>
              <w:top w:val="single" w:color="auto" w:sz="4" w:space="0"/>
              <w:left w:val="single" w:color="auto" w:sz="4" w:space="0"/>
              <w:bottom w:val="single" w:color="auto" w:sz="4" w:space="0"/>
            </w:tcBorders>
            <w:noWrap w:val="0"/>
            <w:vAlign w:val="center"/>
          </w:tcPr>
          <w:p>
            <w:pPr>
              <w:spacing w:line="240" w:lineRule="auto"/>
              <w:ind w:right="0"/>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序号</w:t>
            </w:r>
          </w:p>
        </w:tc>
        <w:tc>
          <w:tcPr>
            <w:tcW w:w="5928" w:type="dxa"/>
            <w:tcBorders>
              <w:top w:val="single" w:color="auto" w:sz="4" w:space="0"/>
              <w:bottom w:val="single" w:color="auto" w:sz="4" w:space="0"/>
            </w:tcBorders>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项目名称</w:t>
            </w:r>
          </w:p>
        </w:tc>
        <w:tc>
          <w:tcPr>
            <w:tcW w:w="2717" w:type="dxa"/>
            <w:tcBorders>
              <w:top w:val="single" w:color="auto" w:sz="4" w:space="0"/>
              <w:bottom w:val="single" w:color="auto" w:sz="4" w:space="0"/>
              <w:right w:val="single" w:color="auto" w:sz="4" w:space="0"/>
            </w:tcBorders>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处理管理标准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3" w:type="dxa"/>
            <w:tcBorders>
              <w:top w:val="single" w:color="auto" w:sz="4" w:space="0"/>
            </w:tcBorders>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w:t>
            </w:r>
          </w:p>
        </w:tc>
        <w:tc>
          <w:tcPr>
            <w:tcW w:w="5928" w:type="dxa"/>
            <w:tcBorders>
              <w:top w:val="single" w:color="auto" w:sz="4" w:space="0"/>
            </w:tcBorders>
            <w:noWrap w:val="0"/>
            <w:vAlign w:val="center"/>
          </w:tcPr>
          <w:p>
            <w:pPr>
              <w:spacing w:line="240" w:lineRule="auto"/>
              <w:ind w:right="42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结构有严重安全隐患(不具备开展条件及其容易造成人员伤亡）</w:t>
            </w:r>
          </w:p>
        </w:tc>
        <w:tc>
          <w:tcPr>
            <w:tcW w:w="2717" w:type="dxa"/>
            <w:tcBorders>
              <w:top w:val="single" w:color="auto" w:sz="4" w:space="0"/>
            </w:tcBorders>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3"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p>
        </w:tc>
        <w:tc>
          <w:tcPr>
            <w:tcW w:w="5928" w:type="dxa"/>
            <w:noWrap w:val="0"/>
            <w:vAlign w:val="center"/>
          </w:tcPr>
          <w:p>
            <w:pPr>
              <w:spacing w:line="240" w:lineRule="auto"/>
              <w:ind w:right="42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结构有安全隐患（结构材质超负荷承载，如：背板墙不结实，支撑柱变形，接触面不达标，二层楼板、楼梯、地台板等承重不合格，受力不均等）</w:t>
            </w:r>
          </w:p>
        </w:tc>
        <w:tc>
          <w:tcPr>
            <w:tcW w:w="2717" w:type="dxa"/>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2</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3"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w:t>
            </w:r>
          </w:p>
        </w:tc>
        <w:tc>
          <w:tcPr>
            <w:tcW w:w="5928" w:type="dxa"/>
            <w:noWrap w:val="0"/>
            <w:vAlign w:val="center"/>
          </w:tcPr>
          <w:p>
            <w:pPr>
              <w:spacing w:line="240" w:lineRule="auto"/>
              <w:ind w:right="42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大跨度结构未使用钢结构（跨度超6米含6米必须加钢结构，大跨度异型造型必须加钢结构）</w:t>
            </w:r>
          </w:p>
        </w:tc>
        <w:tc>
          <w:tcPr>
            <w:tcW w:w="2717" w:type="dxa"/>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3"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4</w:t>
            </w:r>
          </w:p>
        </w:tc>
        <w:tc>
          <w:tcPr>
            <w:tcW w:w="5928" w:type="dxa"/>
            <w:noWrap w:val="0"/>
            <w:vAlign w:val="center"/>
          </w:tcPr>
          <w:p>
            <w:pPr>
              <w:spacing w:line="240" w:lineRule="auto"/>
              <w:ind w:right="42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搭建结构使用劣质或未达标材料（以根据现场施工安全检查为准）</w:t>
            </w:r>
          </w:p>
        </w:tc>
        <w:tc>
          <w:tcPr>
            <w:tcW w:w="2717" w:type="dxa"/>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2</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3"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w:t>
            </w:r>
          </w:p>
        </w:tc>
        <w:tc>
          <w:tcPr>
            <w:tcW w:w="5928" w:type="dxa"/>
            <w:noWrap w:val="0"/>
            <w:vAlign w:val="center"/>
          </w:tcPr>
          <w:p>
            <w:pPr>
              <w:spacing w:line="240" w:lineRule="auto"/>
              <w:ind w:right="42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钢结构连接不规范,未按要求连接。（如：应使用焊接未焊接的，应使用螺栓连接用螺钉连接的，应使用钢绳用铁丝连接的等）</w:t>
            </w:r>
          </w:p>
        </w:tc>
        <w:tc>
          <w:tcPr>
            <w:tcW w:w="2717" w:type="dxa"/>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3"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6</w:t>
            </w:r>
          </w:p>
        </w:tc>
        <w:tc>
          <w:tcPr>
            <w:tcW w:w="5928" w:type="dxa"/>
            <w:noWrap w:val="0"/>
            <w:vAlign w:val="center"/>
          </w:tcPr>
          <w:p>
            <w:pPr>
              <w:spacing w:line="240" w:lineRule="auto"/>
              <w:ind w:right="42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展位结构垮塌，燃烧</w:t>
            </w:r>
          </w:p>
        </w:tc>
        <w:tc>
          <w:tcPr>
            <w:tcW w:w="2717" w:type="dxa"/>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8" w:hRule="atLeast"/>
          <w:jc w:val="center"/>
        </w:trPr>
        <w:tc>
          <w:tcPr>
            <w:tcW w:w="653"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7</w:t>
            </w:r>
          </w:p>
        </w:tc>
        <w:tc>
          <w:tcPr>
            <w:tcW w:w="5928" w:type="dxa"/>
            <w:noWrap w:val="0"/>
            <w:vAlign w:val="center"/>
          </w:tcPr>
          <w:p>
            <w:pPr>
              <w:spacing w:line="240" w:lineRule="auto"/>
              <w:ind w:right="42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展台玻璃未进行钢化处理，玻璃和展台未张贴防撞警示标识</w:t>
            </w:r>
          </w:p>
        </w:tc>
        <w:tc>
          <w:tcPr>
            <w:tcW w:w="2717" w:type="dxa"/>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3"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8</w:t>
            </w:r>
          </w:p>
        </w:tc>
        <w:tc>
          <w:tcPr>
            <w:tcW w:w="5928" w:type="dxa"/>
            <w:noWrap w:val="0"/>
            <w:vAlign w:val="center"/>
          </w:tcPr>
          <w:p>
            <w:pPr>
              <w:spacing w:line="240" w:lineRule="auto"/>
              <w:ind w:right="42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展台未按申报图纸施工搭建</w:t>
            </w:r>
          </w:p>
        </w:tc>
        <w:tc>
          <w:tcPr>
            <w:tcW w:w="2717" w:type="dxa"/>
            <w:noWrap w:val="0"/>
            <w:vAlign w:val="center"/>
          </w:tcPr>
          <w:p>
            <w:pPr>
              <w:spacing w:line="240" w:lineRule="auto"/>
              <w:ind w:right="42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2</w:t>
            </w:r>
            <w:r>
              <w:rPr>
                <w:rFonts w:hint="eastAsia" w:ascii="华文细黑" w:hAnsi="华文细黑" w:eastAsia="华文细黑" w:cs="华文细黑"/>
                <w:sz w:val="24"/>
                <w:szCs w:val="24"/>
              </w:rPr>
              <w:t>000元</w:t>
            </w:r>
          </w:p>
        </w:tc>
      </w:tr>
    </w:tbl>
    <w:p>
      <w:pPr>
        <w:pStyle w:val="41"/>
        <w:spacing w:line="240" w:lineRule="auto"/>
        <w:ind w:left="0" w:leftChars="0" w:firstLine="0" w:firstLineChars="0"/>
        <w:jc w:val="left"/>
        <w:rPr>
          <w:rFonts w:hint="eastAsia" w:ascii="华文细黑" w:hAnsi="华文细黑" w:eastAsia="华文细黑" w:cs="华文细黑"/>
          <w:sz w:val="24"/>
          <w:szCs w:val="24"/>
          <w:shd w:val="clear" w:color="auto" w:fill="FFFFFF"/>
        </w:rPr>
      </w:pPr>
    </w:p>
    <w:p>
      <w:pPr>
        <w:pStyle w:val="41"/>
        <w:spacing w:line="240" w:lineRule="auto"/>
        <w:ind w:left="0" w:leftChars="0" w:firstLine="0" w:firstLineChars="0"/>
        <w:jc w:val="left"/>
        <w:rPr>
          <w:rFonts w:hint="eastAsia" w:ascii="华文细黑" w:hAnsi="华文细黑" w:eastAsia="华文细黑" w:cs="华文细黑"/>
          <w:sz w:val="24"/>
          <w:szCs w:val="24"/>
          <w:shd w:val="clear" w:color="auto" w:fill="FFFFFF"/>
        </w:rPr>
      </w:pPr>
    </w:p>
    <w:p>
      <w:pPr>
        <w:pStyle w:val="41"/>
        <w:spacing w:line="240" w:lineRule="auto"/>
        <w:ind w:left="0" w:leftChars="0" w:firstLine="0" w:firstLineChars="0"/>
        <w:jc w:val="left"/>
        <w:rPr>
          <w:rFonts w:hint="eastAsia" w:ascii="华文细黑" w:hAnsi="华文细黑" w:eastAsia="华文细黑" w:cs="华文细黑"/>
          <w:sz w:val="24"/>
          <w:szCs w:val="24"/>
          <w:shd w:val="clear" w:color="auto" w:fill="FFFFFF"/>
        </w:rPr>
      </w:pPr>
    </w:p>
    <w:p>
      <w:pPr>
        <w:pStyle w:val="41"/>
        <w:spacing w:line="240" w:lineRule="auto"/>
        <w:ind w:left="0" w:leftChars="0" w:firstLine="0" w:firstLineChars="0"/>
        <w:jc w:val="left"/>
        <w:rPr>
          <w:rFonts w:hint="eastAsia" w:ascii="华文细黑" w:hAnsi="华文细黑" w:eastAsia="华文细黑" w:cs="华文细黑"/>
          <w:sz w:val="24"/>
          <w:szCs w:val="24"/>
          <w:shd w:val="clear" w:color="auto" w:fill="FFFFFF"/>
        </w:rPr>
      </w:pPr>
    </w:p>
    <w:p>
      <w:pPr>
        <w:pStyle w:val="41"/>
        <w:numPr>
          <w:ilvl w:val="0"/>
          <w:numId w:val="8"/>
        </w:numPr>
        <w:spacing w:line="240" w:lineRule="auto"/>
        <w:ind w:firstLineChars="0"/>
        <w:jc w:val="left"/>
        <w:rPr>
          <w:rFonts w:hint="eastAsia" w:ascii="华文细黑" w:hAnsi="华文细黑" w:eastAsia="华文细黑" w:cs="华文细黑"/>
          <w:sz w:val="24"/>
          <w:szCs w:val="24"/>
          <w:shd w:val="clear" w:color="auto" w:fill="FFFFFF"/>
        </w:rPr>
      </w:pPr>
      <w:r>
        <w:rPr>
          <w:rFonts w:hint="eastAsia" w:ascii="华文细黑" w:hAnsi="华文细黑" w:eastAsia="华文细黑" w:cs="华文细黑"/>
          <w:b/>
          <w:sz w:val="24"/>
          <w:szCs w:val="24"/>
          <w:shd w:val="clear" w:color="auto" w:fill="FFFFFF"/>
        </w:rPr>
        <w:t>消防、电检</w:t>
      </w:r>
    </w:p>
    <w:tbl>
      <w:tblPr>
        <w:tblStyle w:val="17"/>
        <w:tblW w:w="92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32"/>
        <w:gridCol w:w="5287"/>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序号</w:t>
            </w:r>
          </w:p>
        </w:tc>
        <w:tc>
          <w:tcPr>
            <w:tcW w:w="528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项目名称</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处理管理标准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展馆内或禁烟区域吸烟</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使用易燃易爆及违禁化学物品</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w:t>
            </w:r>
            <w:r>
              <w:rPr>
                <w:rFonts w:hint="eastAsia" w:ascii="华文细黑" w:hAnsi="华文细黑" w:eastAsia="华文细黑" w:cs="华文细黑"/>
                <w:sz w:val="24"/>
                <w:szCs w:val="24"/>
                <w:lang w:val="en-US" w:eastAsia="zh-CN"/>
              </w:rPr>
              <w:t>3</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私拉乱接电源、水源</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4</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展台材料未进行防火、阻燃处理</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灯箱未预留散热孔</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6</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未经允许私自动火</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7</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安装线缆未穿管</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8</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未按规定张贴安全消防警示标志</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9</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电路未使用接线端子</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占用消防通道堆放物品</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11</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易燃搭建材料与电器、线缆没有有效隔离、不安装漏电开关</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12</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展台违规封顶</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13</w:t>
            </w:r>
          </w:p>
        </w:tc>
        <w:tc>
          <w:tcPr>
            <w:tcW w:w="5287" w:type="dxa"/>
            <w:noWrap w:val="0"/>
            <w:vAlign w:val="center"/>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阻挡展馆消防设施</w:t>
            </w:r>
          </w:p>
        </w:tc>
        <w:tc>
          <w:tcPr>
            <w:tcW w:w="3179"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0" w:hRule="atLeast"/>
          <w:jc w:val="center"/>
        </w:trPr>
        <w:tc>
          <w:tcPr>
            <w:tcW w:w="832" w:type="dxa"/>
            <w:noWrap w:val="0"/>
            <w:vAlign w:val="center"/>
          </w:tcPr>
          <w:p>
            <w:pPr>
              <w:spacing w:line="240" w:lineRule="auto"/>
              <w:ind w:right="0" w:firstLine="0" w:firstLineChars="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14</w:t>
            </w:r>
          </w:p>
        </w:tc>
        <w:tc>
          <w:tcPr>
            <w:tcW w:w="5287" w:type="dxa"/>
            <w:noWrap w:val="0"/>
            <w:vAlign w:val="center"/>
          </w:tcPr>
          <w:p>
            <w:pPr>
              <w:spacing w:line="240" w:lineRule="auto"/>
              <w:ind w:right="0" w:firstLine="0" w:firstLineChars="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使用麻花线及不达国标线缆</w:t>
            </w:r>
          </w:p>
        </w:tc>
        <w:tc>
          <w:tcPr>
            <w:tcW w:w="3179" w:type="dxa"/>
            <w:noWrap w:val="0"/>
            <w:vAlign w:val="center"/>
          </w:tcPr>
          <w:p>
            <w:pPr>
              <w:spacing w:line="240" w:lineRule="auto"/>
              <w:ind w:right="0" w:firstLine="0" w:firstLineChars="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000元</w:t>
            </w:r>
          </w:p>
        </w:tc>
      </w:tr>
    </w:tbl>
    <w:p>
      <w:pPr>
        <w:pStyle w:val="41"/>
        <w:spacing w:line="240" w:lineRule="auto"/>
        <w:ind w:left="0" w:leftChars="0" w:right="420" w:firstLine="0" w:firstLineChars="0"/>
        <w:rPr>
          <w:rFonts w:hint="eastAsia" w:ascii="华文细黑" w:hAnsi="华文细黑" w:eastAsia="华文细黑" w:cs="华文细黑"/>
          <w:b/>
          <w:sz w:val="24"/>
          <w:szCs w:val="24"/>
          <w:shd w:val="clear" w:color="auto" w:fill="FFFFFF"/>
        </w:rPr>
      </w:pPr>
    </w:p>
    <w:p>
      <w:pPr>
        <w:pStyle w:val="41"/>
        <w:spacing w:line="240" w:lineRule="auto"/>
        <w:ind w:left="0" w:leftChars="0" w:right="420" w:firstLine="0" w:firstLineChars="0"/>
        <w:rPr>
          <w:rFonts w:hint="eastAsia" w:ascii="华文细黑" w:hAnsi="华文细黑" w:eastAsia="华文细黑" w:cs="华文细黑"/>
          <w:b/>
          <w:sz w:val="24"/>
          <w:szCs w:val="24"/>
          <w:shd w:val="clear" w:color="auto" w:fill="FFFFFF"/>
        </w:rPr>
      </w:pPr>
    </w:p>
    <w:p>
      <w:pPr>
        <w:pStyle w:val="41"/>
        <w:spacing w:line="240" w:lineRule="auto"/>
        <w:ind w:left="0" w:leftChars="0" w:right="420" w:firstLine="0" w:firstLineChars="0"/>
        <w:rPr>
          <w:rFonts w:hint="eastAsia" w:ascii="华文细黑" w:hAnsi="华文细黑" w:eastAsia="华文细黑" w:cs="华文细黑"/>
          <w:b/>
          <w:sz w:val="24"/>
          <w:szCs w:val="24"/>
          <w:shd w:val="clear" w:color="auto" w:fill="FFFFFF"/>
        </w:rPr>
      </w:pPr>
    </w:p>
    <w:p>
      <w:pPr>
        <w:pStyle w:val="41"/>
        <w:spacing w:line="240" w:lineRule="auto"/>
        <w:ind w:left="0" w:leftChars="0" w:right="420" w:firstLine="0" w:firstLineChars="0"/>
        <w:rPr>
          <w:rFonts w:hint="eastAsia" w:ascii="华文细黑" w:hAnsi="华文细黑" w:eastAsia="华文细黑" w:cs="华文细黑"/>
          <w:b/>
          <w:sz w:val="24"/>
          <w:szCs w:val="24"/>
          <w:shd w:val="clear" w:color="auto" w:fill="FFFFFF"/>
        </w:rPr>
      </w:pPr>
    </w:p>
    <w:p>
      <w:pPr>
        <w:pStyle w:val="41"/>
        <w:spacing w:line="240" w:lineRule="auto"/>
        <w:ind w:left="0" w:leftChars="0" w:right="420" w:firstLine="0" w:firstLineChars="0"/>
        <w:rPr>
          <w:rFonts w:hint="eastAsia" w:ascii="华文细黑" w:hAnsi="华文细黑" w:eastAsia="华文细黑" w:cs="华文细黑"/>
          <w:b/>
          <w:sz w:val="24"/>
          <w:szCs w:val="24"/>
          <w:shd w:val="clear" w:color="auto" w:fill="FFFFFF"/>
        </w:rPr>
      </w:pPr>
    </w:p>
    <w:p>
      <w:pPr>
        <w:pStyle w:val="41"/>
        <w:numPr>
          <w:ilvl w:val="0"/>
          <w:numId w:val="8"/>
        </w:numPr>
        <w:spacing w:line="240" w:lineRule="auto"/>
        <w:ind w:right="420" w:firstLineChars="0"/>
        <w:rPr>
          <w:rFonts w:hint="eastAsia" w:ascii="华文细黑" w:hAnsi="华文细黑" w:eastAsia="华文细黑" w:cs="华文细黑"/>
          <w:b/>
          <w:sz w:val="24"/>
          <w:szCs w:val="24"/>
          <w:shd w:val="clear" w:color="auto" w:fill="FFFFFF"/>
        </w:rPr>
      </w:pPr>
      <w:r>
        <w:rPr>
          <w:rFonts w:hint="eastAsia" w:ascii="华文细黑" w:hAnsi="华文细黑" w:eastAsia="华文细黑" w:cs="华文细黑"/>
          <w:b/>
          <w:sz w:val="24"/>
          <w:szCs w:val="24"/>
          <w:shd w:val="clear" w:color="auto" w:fill="FFFFFF"/>
        </w:rPr>
        <w:t>施工安全</w:t>
      </w:r>
    </w:p>
    <w:tbl>
      <w:tblPr>
        <w:tblStyle w:val="17"/>
        <w:tblW w:w="95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5250"/>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序号</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项目名称</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处理管理标准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施工现场未戴安全帽</w:t>
            </w:r>
          </w:p>
        </w:tc>
        <w:tc>
          <w:tcPr>
            <w:tcW w:w="3456" w:type="dxa"/>
            <w:noWrap w:val="0"/>
            <w:vAlign w:val="center"/>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施工现场不规范着装施工</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特种作业人员无证上岗</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4</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现场初加工、大面积喷涂、腻子作业</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w:t>
            </w:r>
            <w:r>
              <w:rPr>
                <w:rFonts w:hint="eastAsia" w:ascii="华文细黑" w:hAnsi="华文细黑" w:eastAsia="华文细黑" w:cs="华文细黑"/>
                <w:sz w:val="24"/>
                <w:szCs w:val="24"/>
                <w:lang w:val="en-US" w:eastAsia="zh-CN"/>
              </w:rPr>
              <w:t>2</w:t>
            </w:r>
            <w:r>
              <w:rPr>
                <w:rFonts w:hint="eastAsia" w:ascii="华文细黑" w:hAnsi="华文细黑" w:eastAsia="华文细黑" w:cs="华文细黑"/>
                <w:sz w:val="24"/>
                <w:szCs w:val="24"/>
              </w:rPr>
              <w:t>00</w:t>
            </w:r>
            <w:r>
              <w:rPr>
                <w:rFonts w:hint="eastAsia" w:ascii="华文细黑" w:hAnsi="华文细黑" w:eastAsia="华文细黑" w:cs="华文细黑"/>
                <w:sz w:val="24"/>
                <w:szCs w:val="24"/>
                <w:lang w:val="en-US" w:eastAsia="zh-CN"/>
              </w:rPr>
              <w:t>0</w:t>
            </w:r>
            <w:r>
              <w:rPr>
                <w:rFonts w:hint="eastAsia" w:ascii="华文细黑" w:hAnsi="华文细黑" w:eastAsia="华文细黑" w:cs="华文细黑"/>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高空作业平台无有效安全保护措施</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6</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野蛮施工及撤展、违规搭建、不设安全警戒区</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7</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未经允许私自使用展馆结构进行吊装、捆绑作业</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000元+租赁费用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8</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不遵守施工安全管理规定</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9</w:t>
            </w:r>
          </w:p>
        </w:tc>
        <w:tc>
          <w:tcPr>
            <w:tcW w:w="525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外包非施工搭建专业公司撤展</w:t>
            </w:r>
          </w:p>
        </w:tc>
        <w:tc>
          <w:tcPr>
            <w:tcW w:w="3456"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bl>
    <w:p>
      <w:pPr>
        <w:pStyle w:val="41"/>
        <w:numPr>
          <w:ilvl w:val="0"/>
          <w:numId w:val="8"/>
        </w:numPr>
        <w:spacing w:line="240" w:lineRule="auto"/>
        <w:ind w:right="420" w:firstLineChars="0"/>
        <w:rPr>
          <w:rFonts w:hint="eastAsia" w:ascii="华文细黑" w:hAnsi="华文细黑" w:eastAsia="华文细黑" w:cs="华文细黑"/>
          <w:b/>
          <w:sz w:val="24"/>
          <w:szCs w:val="24"/>
          <w:shd w:val="clear" w:color="auto" w:fill="FFFFFF"/>
        </w:rPr>
      </w:pPr>
      <w:r>
        <w:rPr>
          <w:rFonts w:hint="eastAsia" w:ascii="华文细黑" w:hAnsi="华文细黑" w:eastAsia="华文细黑" w:cs="华文细黑"/>
          <w:b/>
          <w:sz w:val="24"/>
          <w:szCs w:val="24"/>
          <w:shd w:val="clear" w:color="auto" w:fill="FFFFFF"/>
        </w:rPr>
        <w:t>遵守展会管理规定</w:t>
      </w:r>
    </w:p>
    <w:tbl>
      <w:tblPr>
        <w:tblStyle w:val="17"/>
        <w:tblW w:w="9628" w:type="dxa"/>
        <w:jc w:val="center"/>
        <w:tblInd w:w="-3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5690"/>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序号</w:t>
            </w:r>
          </w:p>
        </w:tc>
        <w:tc>
          <w:tcPr>
            <w:tcW w:w="5690"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项目名称</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处理管理标准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打架斗殴</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2</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未佩戴证件进入施工现场</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私带切割机、焊机、电锯、空压机进入施工现场使用</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4</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违规延时加班</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按实际加班费双倍收取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展台高于相邻展位的装饰物未做美化处理</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6</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布展期未经允许私自使用展期用电</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现场价格基础上加收75%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7</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未办理进馆手续，私自进场 </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w:t>
            </w:r>
            <w:r>
              <w:rPr>
                <w:rFonts w:hint="eastAsia" w:ascii="华文细黑" w:hAnsi="华文细黑" w:eastAsia="华文细黑" w:cs="华文细黑"/>
                <w:sz w:val="24"/>
                <w:szCs w:val="24"/>
                <w:lang w:val="en-US" w:eastAsia="zh-CN"/>
              </w:rPr>
              <w:t>2</w:t>
            </w:r>
            <w:r>
              <w:rPr>
                <w:rFonts w:hint="eastAsia" w:ascii="华文细黑" w:hAnsi="华文细黑" w:eastAsia="华文细黑" w:cs="华文细黑"/>
                <w:sz w:val="24"/>
                <w:szCs w:val="24"/>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8</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损坏展馆设备、设施</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照价赔偿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9</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私自挪用展具</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拒签整改单</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11</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不遵守规定提前撤展</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12</w:t>
            </w:r>
          </w:p>
        </w:tc>
        <w:tc>
          <w:tcPr>
            <w:tcW w:w="5690" w:type="dxa"/>
            <w:noWrap w:val="0"/>
            <w:vAlign w:val="top"/>
          </w:tcPr>
          <w:p>
            <w:pPr>
              <w:spacing w:line="240" w:lineRule="auto"/>
              <w:ind w:right="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展台地台未作无障碍通道</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13</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装修垃圾清运不彻底或把装修垃圾随便堆放</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扣除全部保证金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14</w:t>
            </w:r>
          </w:p>
        </w:tc>
        <w:tc>
          <w:tcPr>
            <w:tcW w:w="5690" w:type="dxa"/>
            <w:noWrap w:val="0"/>
            <w:vAlign w:val="top"/>
          </w:tcPr>
          <w:p>
            <w:pPr>
              <w:spacing w:line="240" w:lineRule="auto"/>
              <w:ind w:right="0"/>
              <w:rPr>
                <w:rFonts w:hint="eastAsia" w:ascii="华文细黑" w:hAnsi="华文细黑" w:eastAsia="华文细黑" w:cs="华文细黑"/>
                <w:sz w:val="24"/>
                <w:szCs w:val="24"/>
              </w:rPr>
            </w:pPr>
            <w:r>
              <w:rPr>
                <w:rFonts w:hint="eastAsia" w:ascii="华文细黑" w:hAnsi="华文细黑" w:eastAsia="华文细黑" w:cs="华文细黑"/>
                <w:sz w:val="24"/>
                <w:szCs w:val="24"/>
              </w:rPr>
              <w:t>不遵守上述未列之</w:t>
            </w:r>
            <w:r>
              <w:rPr>
                <w:rFonts w:hint="eastAsia" w:ascii="华文细黑" w:hAnsi="华文细黑" w:eastAsia="华文细黑" w:cs="华文细黑"/>
                <w:sz w:val="24"/>
                <w:szCs w:val="24"/>
                <w:lang w:val="en-US" w:eastAsia="zh-CN"/>
              </w:rPr>
              <w:t>绿色建筑展</w:t>
            </w:r>
            <w:r>
              <w:rPr>
                <w:rFonts w:hint="eastAsia" w:ascii="华文细黑" w:hAnsi="华文细黑" w:eastAsia="华文细黑" w:cs="华文细黑"/>
                <w:sz w:val="24"/>
                <w:szCs w:val="24"/>
              </w:rPr>
              <w:t>管理制度</w:t>
            </w:r>
          </w:p>
        </w:tc>
        <w:tc>
          <w:tcPr>
            <w:tcW w:w="3091" w:type="dxa"/>
            <w:noWrap w:val="0"/>
            <w:vAlign w:val="center"/>
          </w:tcPr>
          <w:p>
            <w:pPr>
              <w:spacing w:line="240" w:lineRule="auto"/>
              <w:ind w:right="0"/>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扣除保证金2000元</w:t>
            </w:r>
          </w:p>
        </w:tc>
      </w:tr>
    </w:tbl>
    <w:p>
      <w:pPr>
        <w:pStyle w:val="41"/>
        <w:numPr>
          <w:ilvl w:val="0"/>
          <w:numId w:val="8"/>
        </w:numPr>
        <w:spacing w:line="240" w:lineRule="auto"/>
        <w:ind w:right="420" w:firstLineChars="0"/>
        <w:rPr>
          <w:rFonts w:hint="eastAsia" w:ascii="华文细黑" w:hAnsi="华文细黑" w:eastAsia="华文细黑" w:cs="华文细黑"/>
          <w:b/>
          <w:sz w:val="24"/>
          <w:szCs w:val="24"/>
          <w:shd w:val="clear" w:color="auto" w:fill="FFFFFF"/>
        </w:rPr>
      </w:pPr>
      <w:r>
        <w:rPr>
          <w:rFonts w:hint="eastAsia" w:ascii="华文细黑" w:hAnsi="华文细黑" w:eastAsia="华文细黑" w:cs="华文细黑"/>
          <w:b/>
          <w:sz w:val="24"/>
          <w:szCs w:val="24"/>
        </w:rPr>
        <w:t>维护场馆设备设施</w:t>
      </w:r>
    </w:p>
    <w:tbl>
      <w:tblPr>
        <w:tblStyle w:val="17"/>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1167"/>
        <w:gridCol w:w="1213"/>
        <w:gridCol w:w="1670"/>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项目</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规格</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单位</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价格（元）</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地面损坏</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1m×1m</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处</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b/>
                <w:sz w:val="24"/>
                <w:szCs w:val="24"/>
              </w:rPr>
            </w:pPr>
            <w:r>
              <w:rPr>
                <w:rFonts w:hint="eastAsia" w:ascii="华文细黑" w:hAnsi="华文细黑" w:eastAsia="华文细黑" w:cs="华文细黑"/>
                <w:sz w:val="24"/>
                <w:szCs w:val="24"/>
              </w:rPr>
              <w:t>500-2000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墙面损坏</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1m×1m</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损坏、粘贴或涂色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玻璃损坏</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5mm</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平方米</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按面积计算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玻璃门损坏</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12mm</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扇</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1200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不包括拉手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墙、地、柱、顶钻孔</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处（个）</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插座</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动力配电箱</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1000-2500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根据损坏程度确定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小型配电箱</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200-2200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根据损坏程度确定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日光灯具</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3×40w</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套</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800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射灯具</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150~300w</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盏</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80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卷闸门</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500-2000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根据损坏程度确定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阀门</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200mm</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卫生设施</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300-1500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根据损坏程度确定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消防箱</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消防带</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电话机</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展板</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张</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标准展具</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根据购入价，照价赔偿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展厅墙面玻璃</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块</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1000-5000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展厅地埋式电箱</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2000-20000</w:t>
            </w: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其他</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p>
        </w:tc>
        <w:tc>
          <w:tcPr>
            <w:tcW w:w="2391"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根据损坏程度，各种规格实际价格赔偿</w:t>
            </w:r>
          </w:p>
        </w:tc>
      </w:tr>
    </w:tbl>
    <w:p>
      <w:pPr>
        <w:pStyle w:val="26"/>
        <w:spacing w:line="276" w:lineRule="auto"/>
        <w:rPr>
          <w:rFonts w:hint="eastAsia" w:ascii="华文细黑" w:hAnsi="华文细黑" w:eastAsia="华文细黑" w:cs="华文细黑"/>
          <w:sz w:val="28"/>
          <w:szCs w:val="28"/>
        </w:rPr>
      </w:pPr>
      <w:bookmarkStart w:id="49" w:name="_Toc23869_WPSOffice_Level2"/>
      <w:r>
        <w:rPr>
          <w:rFonts w:hint="eastAsia" w:ascii="华文细黑" w:hAnsi="华文细黑" w:eastAsia="华文细黑" w:cs="华文细黑"/>
          <w:b/>
          <w:sz w:val="28"/>
          <w:szCs w:val="28"/>
        </w:rPr>
        <w:t>3</w:t>
      </w:r>
      <w:r>
        <w:rPr>
          <w:rFonts w:hint="eastAsia" w:ascii="华文细黑" w:hAnsi="华文细黑" w:eastAsia="华文细黑" w:cs="华文细黑"/>
          <w:b/>
          <w:sz w:val="28"/>
          <w:szCs w:val="28"/>
          <w:lang w:val="en-US" w:eastAsia="zh-CN"/>
        </w:rPr>
        <w:t>.</w:t>
      </w:r>
      <w:r>
        <w:rPr>
          <w:rFonts w:hint="eastAsia" w:ascii="华文细黑" w:hAnsi="华文细黑" w:eastAsia="华文细黑" w:cs="华文细黑"/>
          <w:b/>
          <w:sz w:val="28"/>
          <w:szCs w:val="28"/>
        </w:rPr>
        <w:t>施工违约保证金扣除的投诉流程</w:t>
      </w:r>
      <w:r>
        <w:rPr>
          <w:rFonts w:hint="eastAsia" w:ascii="华文细黑" w:hAnsi="华文细黑" w:eastAsia="华文细黑" w:cs="华文细黑"/>
          <w:sz w:val="28"/>
          <w:szCs w:val="28"/>
        </w:rPr>
        <w:t>：</w:t>
      </w:r>
      <w:bookmarkEnd w:id="49"/>
    </w:p>
    <w:p>
      <w:pPr>
        <w:pStyle w:val="26"/>
        <w:spacing w:line="276" w:lineRule="auto"/>
        <w:ind w:left="141" w:leftChars="67" w:firstLine="163" w:firstLineChars="68"/>
        <w:rPr>
          <w:rFonts w:hint="eastAsia" w:ascii="华文细黑" w:hAnsi="华文细黑" w:eastAsia="华文细黑" w:cs="华文细黑"/>
        </w:rPr>
      </w:pPr>
      <w:r>
        <w:rPr>
          <w:rFonts w:hint="eastAsia" w:ascii="华文细黑" w:hAnsi="华文细黑" w:eastAsia="华文细黑" w:cs="华文细黑"/>
        </w:rPr>
        <w:t>搭建商对净地施工违约保证金扣除有异议时可直接向组委会展区组提出投诉意见；</w:t>
      </w:r>
    </w:p>
    <w:p>
      <w:pPr>
        <w:pStyle w:val="26"/>
        <w:spacing w:line="276" w:lineRule="auto"/>
        <w:ind w:left="141" w:leftChars="67" w:firstLine="163" w:firstLineChars="68"/>
        <w:rPr>
          <w:rFonts w:hint="eastAsia" w:ascii="华文细黑" w:hAnsi="华文细黑" w:eastAsia="华文细黑" w:cs="华文细黑"/>
        </w:rPr>
      </w:pPr>
      <w:r>
        <w:rPr>
          <w:rFonts w:hint="eastAsia" w:ascii="华文细黑" w:hAnsi="华文细黑" w:eastAsia="华文细黑" w:cs="华文细黑"/>
        </w:rPr>
        <w:t>投诉流程：</w:t>
      </w:r>
    </w:p>
    <w:p>
      <w:pPr>
        <w:pStyle w:val="26"/>
        <w:spacing w:line="276" w:lineRule="auto"/>
        <w:ind w:left="141" w:leftChars="67" w:firstLine="163" w:firstLineChars="68"/>
        <w:rPr>
          <w:rFonts w:hint="eastAsia" w:ascii="华文细黑" w:hAnsi="华文细黑" w:eastAsia="华文细黑" w:cs="华文细黑"/>
        </w:rPr>
      </w:pPr>
      <w:r>
        <w:rPr>
          <w:rFonts w:hint="eastAsia" w:ascii="华文细黑" w:hAnsi="华文细黑" w:eastAsia="华文细黑" w:cs="华文细黑"/>
        </w:rPr>
        <w:t xml:space="preserve">  1）搭建商需向组委会提交展位施工未违约的证明、依据；</w:t>
      </w:r>
    </w:p>
    <w:p>
      <w:pPr>
        <w:pStyle w:val="26"/>
        <w:spacing w:line="276" w:lineRule="auto"/>
        <w:ind w:left="141" w:leftChars="67" w:firstLine="163" w:firstLineChars="68"/>
        <w:rPr>
          <w:rFonts w:hint="eastAsia" w:ascii="华文细黑" w:hAnsi="华文细黑" w:eastAsia="华文细黑" w:cs="华文细黑"/>
        </w:rPr>
      </w:pPr>
      <w:r>
        <w:rPr>
          <w:rFonts w:hint="eastAsia" w:ascii="华文细黑" w:hAnsi="华文细黑" w:eastAsia="华文细黑" w:cs="华文细黑"/>
        </w:rPr>
        <w:t xml:space="preserve">  2）组委会展区组及相关部门在收到投诉资料后，对违约情况进行了解和认定；</w:t>
      </w:r>
    </w:p>
    <w:p>
      <w:pPr>
        <w:pStyle w:val="26"/>
        <w:spacing w:line="276" w:lineRule="auto"/>
        <w:ind w:left="141" w:leftChars="67" w:firstLine="163" w:firstLineChars="68"/>
        <w:rPr>
          <w:rFonts w:hint="eastAsia" w:ascii="华文细黑" w:hAnsi="华文细黑" w:eastAsia="华文细黑" w:cs="华文细黑"/>
        </w:rPr>
      </w:pPr>
      <w:r>
        <w:rPr>
          <w:rFonts w:hint="eastAsia" w:ascii="华文细黑" w:hAnsi="华文细黑" w:eastAsia="华文细黑" w:cs="华文细黑"/>
        </w:rPr>
        <w:t xml:space="preserve">  3）组委会决定最终解决方案。</w:t>
      </w:r>
    </w:p>
    <w:p>
      <w:pPr>
        <w:pStyle w:val="26"/>
        <w:rPr>
          <w:rFonts w:hint="eastAsia" w:ascii="宋体" w:hAnsi="宋体" w:eastAsia="宋体"/>
        </w:rPr>
      </w:pPr>
    </w:p>
    <w:p>
      <w:pPr>
        <w:numPr>
          <w:ilvl w:val="0"/>
          <w:numId w:val="0"/>
        </w:numPr>
        <w:autoSpaceDE w:val="0"/>
        <w:autoSpaceDN w:val="0"/>
        <w:adjustRightInd w:val="0"/>
        <w:spacing w:line="240" w:lineRule="auto"/>
        <w:jc w:val="left"/>
        <w:rPr>
          <w:rFonts w:hint="eastAsia" w:ascii="华文细黑" w:hAnsi="华文细黑" w:eastAsia="华文细黑" w:cs="华文细黑"/>
          <w:b/>
          <w:kern w:val="0"/>
          <w:sz w:val="32"/>
          <w:szCs w:val="32"/>
        </w:rPr>
      </w:pPr>
      <w:bookmarkStart w:id="50" w:name="_Toc14757_WPSOffice_Level1"/>
      <w:bookmarkStart w:id="51" w:name="_Toc10725_WPSOffice_Level1"/>
      <w:r>
        <w:rPr>
          <w:rFonts w:hint="eastAsia" w:ascii="华文细黑" w:hAnsi="华文细黑" w:eastAsia="华文细黑" w:cs="华文细黑"/>
          <w:b/>
          <w:kern w:val="0"/>
          <w:sz w:val="32"/>
          <w:szCs w:val="32"/>
          <w:lang w:val="en-US" w:eastAsia="zh-CN"/>
        </w:rPr>
        <w:t>五、</w:t>
      </w:r>
      <w:r>
        <w:rPr>
          <w:rFonts w:hint="eastAsia" w:ascii="华文细黑" w:hAnsi="华文细黑" w:eastAsia="华文细黑" w:cs="华文细黑"/>
          <w:b/>
          <w:kern w:val="0"/>
          <w:sz w:val="32"/>
          <w:szCs w:val="32"/>
        </w:rPr>
        <w:t>展品运输指南</w:t>
      </w:r>
      <w:bookmarkEnd w:id="50"/>
      <w:bookmarkEnd w:id="51"/>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w:t>
      </w:r>
      <w:r>
        <w:rPr>
          <w:rFonts w:hint="eastAsia" w:ascii="华文细黑" w:hAnsi="华文细黑" w:eastAsia="华文细黑" w:cs="华文细黑"/>
          <w:sz w:val="24"/>
          <w:szCs w:val="24"/>
        </w:rPr>
        <w:t>根据厦门会展中心与会展组委会的协定，展务部负责会展前车辆管理等日常工作，提供展品的提货、现场搬运、回运等相关服务的组织,负责会展期间的运输管理。</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2.展品提前到达需存放本中心仓库的参展商，请直接与展务部联系，联系</w:t>
      </w:r>
      <w:r>
        <w:rPr>
          <w:rFonts w:hint="eastAsia" w:ascii="华文细黑" w:hAnsi="华文细黑" w:eastAsia="华文细黑" w:cs="华文细黑"/>
          <w:sz w:val="24"/>
          <w:szCs w:val="24"/>
          <w:lang w:val="en-US" w:eastAsia="zh-CN"/>
        </w:rPr>
        <w:t>方式</w:t>
      </w:r>
      <w:r>
        <w:rPr>
          <w:rFonts w:hint="eastAsia" w:ascii="华文细黑" w:hAnsi="华文细黑" w:eastAsia="华文细黑" w:cs="华文细黑"/>
          <w:sz w:val="24"/>
          <w:szCs w:val="24"/>
        </w:rPr>
        <w:t>为</w:t>
      </w:r>
    </w:p>
    <w:p>
      <w:pPr>
        <w:adjustRightInd w:val="0"/>
        <w:snapToGrid w:val="0"/>
        <w:spacing w:line="276" w:lineRule="auto"/>
        <w:jc w:val="left"/>
        <w:rPr>
          <w:rFonts w:hint="eastAsia" w:ascii="华文细黑" w:hAnsi="华文细黑" w:eastAsia="华文细黑" w:cs="华文细黑"/>
          <w:b/>
          <w:bCs/>
          <w:kern w:val="44"/>
          <w:sz w:val="24"/>
          <w:szCs w:val="24"/>
        </w:rPr>
      </w:pPr>
      <w:r>
        <w:rPr>
          <w:rFonts w:hint="eastAsia" w:ascii="华文细黑" w:hAnsi="华文细黑" w:eastAsia="华文细黑" w:cs="华文细黑"/>
          <w:sz w:val="24"/>
          <w:szCs w:val="24"/>
        </w:rPr>
        <w:t xml:space="preserve">收货人：厦门国际会展中心展务部 </w:t>
      </w:r>
      <w:r>
        <w:rPr>
          <w:rFonts w:hint="eastAsia" w:ascii="华文细黑" w:hAnsi="华文细黑" w:eastAsia="华文细黑" w:cs="华文细黑"/>
          <w:b/>
          <w:bCs/>
          <w:kern w:val="44"/>
          <w:sz w:val="24"/>
          <w:szCs w:val="24"/>
        </w:rPr>
        <w:t xml:space="preserve">巫鹏举 收转 </w:t>
      </w:r>
      <w:r>
        <w:rPr>
          <w:rFonts w:hint="eastAsia" w:ascii="华文细黑" w:hAnsi="华文细黑" w:eastAsia="华文细黑" w:cs="华文细黑"/>
          <w:b/>
          <w:bCs/>
          <w:kern w:val="44"/>
          <w:sz w:val="24"/>
          <w:szCs w:val="24"/>
          <w:lang w:val="en-US" w:eastAsia="zh-CN"/>
        </w:rPr>
        <w:t>2019第三届中国（厦门）国际绿色建筑产业博览会福建-地坪展</w:t>
      </w:r>
      <w:r>
        <w:rPr>
          <w:rFonts w:hint="eastAsia" w:ascii="华文细黑" w:hAnsi="华文细黑" w:eastAsia="华文细黑" w:cs="华文细黑"/>
          <w:b/>
          <w:bCs/>
          <w:kern w:val="44"/>
          <w:sz w:val="24"/>
          <w:szCs w:val="24"/>
        </w:rPr>
        <w:t xml:space="preserve">  XX展位XX人</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电话：0592－5959233、5959234    传真：0592－5959239  </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地址：厦门市思明区会展路198号厦门国际会展中心(邮编:361006)　</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3.参展商发运到本中心的展品，需要本中心代为办理提货手续的，请按照以下说明办理：</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收货人：厦门国际会议展览中心</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注明展览会名称：  展馆号：  展位号：  参展公司名称及收货人：   箱号：</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体  积： 长× 宽× 高          </w:t>
      </w:r>
      <w:r>
        <w:rPr>
          <w:rFonts w:hint="eastAsia" w:ascii="华文细黑" w:hAnsi="华文细黑" w:eastAsia="华文细黑" w:cs="华文细黑"/>
          <w:sz w:val="24"/>
          <w:szCs w:val="24"/>
        </w:rPr>
        <w:tab/>
      </w:r>
      <w:r>
        <w:rPr>
          <w:rFonts w:hint="eastAsia" w:ascii="华文细黑" w:hAnsi="华文细黑" w:eastAsia="华文细黑" w:cs="华文细黑"/>
          <w:sz w:val="24"/>
          <w:szCs w:val="24"/>
        </w:rPr>
        <w:tab/>
      </w:r>
      <w:r>
        <w:rPr>
          <w:rFonts w:hint="eastAsia" w:ascii="华文细黑" w:hAnsi="华文细黑" w:eastAsia="华文细黑" w:cs="华文细黑"/>
          <w:sz w:val="24"/>
          <w:szCs w:val="24"/>
        </w:rPr>
        <w:t>毛重：（KG）</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厦门国际会展中心展务部（请写清展会名、展位号、发货人联系方式）　　　　　　　　　　　　　　　</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地址：厦门市思明区会展路198号厦门国际会展中心(邮编:361006)　</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4.展品发运后请立即将运单号、件数、重量,通知厦门国际会展中心展务部,并用特快专递寄出提货凭证；采用航空运输的，请将货运单传真发至展务部；</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5.请在提货单品名栏注明“展品”，并在展品的包装物上标明你所参加的展览会名称和参展摊位号；</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6.展品包装要结实、防雨,并适合反复搬运，3吨以上的展品请标明重心、吊装线；</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7.展务部为参展商提供展品各种运输方式的回运服务；</w:t>
      </w:r>
    </w:p>
    <w:p>
      <w:pPr>
        <w:adjustRightInd w:val="0"/>
        <w:snapToGrid w:val="0"/>
        <w:spacing w:line="276"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8.运输仓储费：</w:t>
      </w:r>
    </w:p>
    <w:tbl>
      <w:tblPr>
        <w:tblStyle w:val="17"/>
        <w:tblpPr w:leftFromText="180" w:rightFromText="180" w:vertAnchor="text" w:horzAnchor="page" w:tblpX="1376" w:tblpY="71"/>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2626"/>
        <w:gridCol w:w="2159"/>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4421"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项目</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795" w:type="dxa"/>
            <w:vMerge w:val="restart"/>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叉车、吊车装卸费</w:t>
            </w:r>
          </w:p>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4"/>
              </w:rPr>
              <w:t>（择大计算）</w:t>
            </w: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1吨—6吨/立方米</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80元/吨/立方米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6吨—20吨/立方米</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125元/吨/立方米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20吨/立方米以上</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250元/吨/立方米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restart"/>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叉车、吊车特殊组装服务和二次移位服务</w:t>
            </w: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3吨叉车</w:t>
            </w:r>
          </w:p>
        </w:tc>
        <w:tc>
          <w:tcPr>
            <w:tcW w:w="2159" w:type="dxa"/>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150元/小时</w:t>
            </w:r>
          </w:p>
        </w:tc>
        <w:tc>
          <w:tcPr>
            <w:tcW w:w="2600" w:type="dxa"/>
            <w:vMerge w:val="restart"/>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本条款仅用于展馆内特殊组装服务和二次移位服务的场合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6吨叉车</w:t>
            </w:r>
          </w:p>
        </w:tc>
        <w:tc>
          <w:tcPr>
            <w:tcW w:w="2159" w:type="dxa"/>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200元/小时</w:t>
            </w:r>
          </w:p>
        </w:tc>
        <w:tc>
          <w:tcPr>
            <w:tcW w:w="2600"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8吨叉车</w:t>
            </w:r>
          </w:p>
        </w:tc>
        <w:tc>
          <w:tcPr>
            <w:tcW w:w="2159" w:type="dxa"/>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250元/小时</w:t>
            </w:r>
          </w:p>
        </w:tc>
        <w:tc>
          <w:tcPr>
            <w:tcW w:w="2600"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16吨吊车</w:t>
            </w:r>
          </w:p>
        </w:tc>
        <w:tc>
          <w:tcPr>
            <w:tcW w:w="2159" w:type="dxa"/>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300元/小时</w:t>
            </w:r>
          </w:p>
        </w:tc>
        <w:tc>
          <w:tcPr>
            <w:tcW w:w="2600"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25吨吊车</w:t>
            </w:r>
          </w:p>
        </w:tc>
        <w:tc>
          <w:tcPr>
            <w:tcW w:w="2159" w:type="dxa"/>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400元/小时</w:t>
            </w:r>
          </w:p>
        </w:tc>
        <w:tc>
          <w:tcPr>
            <w:tcW w:w="2600"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restart"/>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散货搬运（卸货平台至展位）</w:t>
            </w: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50公斤以下</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8"/>
              </w:rPr>
              <w:t>10元/件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50—100公斤</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8"/>
              </w:rPr>
              <w:t>25元/件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100—500公斤</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8"/>
              </w:rPr>
              <w:t>50元/件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500公斤—1吨</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100元/件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trPr>
        <w:tc>
          <w:tcPr>
            <w:tcW w:w="1795" w:type="dxa"/>
            <w:vMerge w:val="continue"/>
            <w:shd w:val="clear" w:color="auto" w:fill="FFFFFF"/>
            <w:noWrap w:val="0"/>
            <w:vAlign w:val="center"/>
          </w:tcPr>
          <w:p>
            <w:pPr>
              <w:spacing w:line="240" w:lineRule="atLeast"/>
              <w:jc w:val="center"/>
              <w:rPr>
                <w:rFonts w:hint="eastAsia" w:ascii="华文细黑" w:hAnsi="华文细黑" w:eastAsia="华文细黑" w:cs="华文细黑"/>
                <w:sz w:val="24"/>
                <w:szCs w:val="28"/>
              </w:rPr>
            </w:pPr>
          </w:p>
        </w:tc>
        <w:tc>
          <w:tcPr>
            <w:tcW w:w="2626" w:type="dxa"/>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1吨以上</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100元/吨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4421"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仓储费</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8"/>
              </w:rPr>
              <w:t>20元/立方米/天（不足1立方米按1立方米计）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4421"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液压车租金</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8"/>
              </w:rPr>
              <w:t>60元/小时（半小时起租）押金500元/辆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4421"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大平板车租金</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8"/>
              </w:rPr>
              <w:t>60元/小时（半小时起租）押金500元/辆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4421"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小平板车租金</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40元/小时（半小时起租）押金200元/辆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4421"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锤子租金</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8"/>
              </w:rPr>
              <w:t>5元/个/半天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4421"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开箱铁钩租金</w:t>
            </w:r>
          </w:p>
        </w:tc>
        <w:tc>
          <w:tcPr>
            <w:tcW w:w="4759" w:type="dxa"/>
            <w:gridSpan w:val="2"/>
            <w:shd w:val="clear" w:color="auto" w:fill="FFFFFF"/>
            <w:noWrap w:val="0"/>
            <w:vAlign w:val="center"/>
          </w:tcPr>
          <w:p>
            <w:pPr>
              <w:spacing w:line="240" w:lineRule="atLeast"/>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8"/>
              </w:rPr>
              <w:t>10元/个/半天</w:t>
            </w:r>
          </w:p>
        </w:tc>
      </w:tr>
    </w:tbl>
    <w:p>
      <w:pPr>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展商如需以上服务，详情请联系巫鹏举，电话13906036498。</w:t>
      </w:r>
    </w:p>
    <w:p>
      <w:pPr>
        <w:spacing w:line="276" w:lineRule="auto"/>
        <w:jc w:val="left"/>
        <w:rPr>
          <w:rFonts w:hint="eastAsia" w:ascii="华文细黑" w:hAnsi="华文细黑" w:eastAsia="华文细黑" w:cs="华文细黑"/>
          <w:b/>
          <w:szCs w:val="21"/>
        </w:rPr>
      </w:pPr>
      <w:r>
        <w:rPr>
          <w:rFonts w:hint="eastAsia" w:ascii="华文细黑" w:hAnsi="华文细黑" w:eastAsia="华文细黑" w:cs="华文细黑"/>
          <w:b/>
          <w:szCs w:val="21"/>
        </w:rPr>
        <w:t>注意事项</w:t>
      </w:r>
    </w:p>
    <w:p>
      <w:pPr>
        <w:spacing w:line="400" w:lineRule="exact"/>
        <w:rPr>
          <w:rFonts w:hint="eastAsia" w:ascii="华文细黑" w:hAnsi="华文细黑" w:eastAsia="华文细黑" w:cs="华文细黑"/>
          <w:szCs w:val="21"/>
        </w:rPr>
      </w:pPr>
      <w:r>
        <w:rPr>
          <w:rFonts w:hint="eastAsia" w:ascii="华文细黑" w:hAnsi="华文细黑" w:eastAsia="华文细黑" w:cs="华文细黑"/>
          <w:szCs w:val="21"/>
        </w:rPr>
        <w:t>1、所有运输的展品包装外表面均刷制有标签，参展商需按格式填写标签内容，展品外包装标示样板详见下图（</w:t>
      </w:r>
      <w:r>
        <w:rPr>
          <w:rFonts w:hint="eastAsia" w:ascii="华文细黑" w:hAnsi="华文细黑" w:eastAsia="华文细黑" w:cs="华文细黑"/>
          <w:szCs w:val="21"/>
          <w:highlight w:val="none"/>
        </w:rPr>
        <w:t>展品外包装标示样板）</w:t>
      </w:r>
      <w:r>
        <w:rPr>
          <w:rFonts w:hint="eastAsia" w:ascii="华文细黑" w:hAnsi="华文细黑" w:eastAsia="华文细黑" w:cs="华文细黑"/>
          <w:szCs w:val="21"/>
        </w:rPr>
        <w:t>所示。</w:t>
      </w:r>
      <w:r>
        <w:rPr>
          <w:rFonts w:hint="eastAsia" w:ascii="华文细黑" w:hAnsi="华文细黑" w:eastAsia="华文细黑" w:cs="华文细黑"/>
          <w:szCs w:val="21"/>
        </w:rPr>
        <w:br w:type="textWrapping"/>
      </w:r>
      <w:r>
        <w:rPr>
          <w:rFonts w:hint="eastAsia" w:ascii="华文细黑" w:hAnsi="华文细黑" w:eastAsia="华文细黑" w:cs="华文细黑"/>
          <w:szCs w:val="21"/>
        </w:rPr>
        <w:t>2、展馆出入口高度为3.5米，所有展品装车时应注意不超过出入口高度。</w:t>
      </w:r>
    </w:p>
    <w:p>
      <w:pPr>
        <w:spacing w:line="400" w:lineRule="exact"/>
        <w:rPr>
          <w:rFonts w:hint="eastAsia" w:ascii="华文细黑" w:hAnsi="华文细黑" w:eastAsia="华文细黑" w:cs="华文细黑"/>
          <w:szCs w:val="21"/>
        </w:rPr>
      </w:pPr>
      <w:bookmarkStart w:id="52" w:name="_Toc18970_WPSOffice_Level2"/>
      <w:r>
        <w:rPr>
          <w:rFonts w:hint="eastAsia" w:ascii="华文细黑" w:hAnsi="华文细黑" w:eastAsia="华文细黑" w:cs="华文细黑"/>
          <w:szCs w:val="21"/>
        </w:rPr>
        <w:t>3、所有的展品进撤场，必须遵照大会制定的时间进行安排。</w:t>
      </w:r>
      <w:bookmarkEnd w:id="52"/>
    </w:p>
    <w:p>
      <w:pPr>
        <w:spacing w:line="400" w:lineRule="exact"/>
        <w:rPr>
          <w:rFonts w:hint="eastAsia" w:ascii="华文细黑" w:hAnsi="华文细黑" w:eastAsia="华文细黑" w:cs="华文细黑"/>
          <w:szCs w:val="21"/>
        </w:rPr>
      </w:pPr>
    </w:p>
    <w:p>
      <w:pPr>
        <w:spacing w:line="400" w:lineRule="exact"/>
        <w:rPr>
          <w:rFonts w:hint="eastAsia" w:ascii="华文细黑" w:hAnsi="华文细黑" w:eastAsia="华文细黑" w:cs="华文细黑"/>
          <w:szCs w:val="21"/>
        </w:rPr>
      </w:pPr>
    </w:p>
    <w:p>
      <w:pPr>
        <w:rPr>
          <w:rFonts w:hint="eastAsia" w:ascii="华文细黑" w:hAnsi="华文细黑" w:eastAsia="华文细黑" w:cs="华文细黑"/>
          <w:sz w:val="28"/>
          <w:szCs w:val="28"/>
          <w:highlight w:val="none"/>
        </w:rPr>
      </w:pPr>
      <w:bookmarkStart w:id="53" w:name="_Toc29304_WPSOffice_Level2"/>
      <w:r>
        <w:rPr>
          <w:rFonts w:hint="eastAsia" w:ascii="华文细黑" w:hAnsi="华文细黑" w:eastAsia="华文细黑" w:cs="华文细黑"/>
          <w:sz w:val="28"/>
          <w:szCs w:val="28"/>
          <w:highlight w:val="none"/>
          <w:lang w:val="en-US" w:eastAsia="zh-CN"/>
        </w:rPr>
        <w:t>1.</w:t>
      </w:r>
      <w:r>
        <w:rPr>
          <w:rFonts w:hint="eastAsia" w:ascii="华文细黑" w:hAnsi="华文细黑" w:eastAsia="华文细黑" w:cs="华文细黑"/>
          <w:sz w:val="28"/>
          <w:szCs w:val="28"/>
          <w:highlight w:val="none"/>
        </w:rPr>
        <w:t>展品外包装标示样板</w:t>
      </w:r>
      <w:bookmarkEnd w:id="53"/>
    </w:p>
    <w:tbl>
      <w:tblPr>
        <w:tblStyle w:val="17"/>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712"/>
        <w:gridCol w:w="360"/>
        <w:gridCol w:w="1770"/>
        <w:gridCol w:w="210"/>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27" w:type="dxa"/>
            <w:gridSpan w:val="6"/>
            <w:noWrap w:val="0"/>
            <w:vAlign w:val="center"/>
          </w:tcPr>
          <w:p>
            <w:pPr>
              <w:rPr>
                <w:rFonts w:hint="eastAsia" w:ascii="华文细黑" w:hAnsi="华文细黑" w:eastAsia="华文细黑" w:cs="华文细黑"/>
                <w:sz w:val="36"/>
                <w:szCs w:val="36"/>
                <w:lang w:val="en-US" w:eastAsia="zh-CN"/>
              </w:rPr>
            </w:pPr>
            <w:r>
              <w:rPr>
                <w:rFonts w:hint="eastAsia" w:ascii="华文细黑" w:hAnsi="华文细黑" w:eastAsia="华文细黑" w:cs="华文细黑"/>
                <w:sz w:val="36"/>
                <w:szCs w:val="36"/>
              </w:rPr>
              <w:t>展览会名称：</w:t>
            </w:r>
            <w:r>
              <w:rPr>
                <w:rFonts w:hint="eastAsia" w:ascii="华文细黑" w:hAnsi="华文细黑" w:eastAsia="华文细黑" w:cs="华文细黑"/>
                <w:sz w:val="30"/>
                <w:szCs w:val="30"/>
                <w:lang w:val="en-US" w:eastAsia="zh-CN"/>
              </w:rPr>
              <w:t>2019第三届中国（厦门）国际绿色建筑产业博览会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2076"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参展单位：</w:t>
            </w:r>
          </w:p>
        </w:tc>
        <w:tc>
          <w:tcPr>
            <w:tcW w:w="3072" w:type="dxa"/>
            <w:gridSpan w:val="2"/>
            <w:noWrap w:val="0"/>
            <w:vAlign w:val="center"/>
          </w:tcPr>
          <w:p>
            <w:pPr>
              <w:rPr>
                <w:rFonts w:hint="eastAsia" w:ascii="华文细黑" w:hAnsi="华文细黑" w:eastAsia="华文细黑" w:cs="华文细黑"/>
                <w:sz w:val="24"/>
                <w:szCs w:val="24"/>
              </w:rPr>
            </w:pPr>
          </w:p>
        </w:tc>
        <w:tc>
          <w:tcPr>
            <w:tcW w:w="1980" w:type="dxa"/>
            <w:gridSpan w:val="2"/>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参展展位号：</w:t>
            </w:r>
          </w:p>
        </w:tc>
        <w:tc>
          <w:tcPr>
            <w:tcW w:w="2499" w:type="dxa"/>
            <w:noWrap w:val="0"/>
            <w:vAlign w:val="center"/>
          </w:tcPr>
          <w:p>
            <w:pP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076"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联系人：</w:t>
            </w:r>
          </w:p>
        </w:tc>
        <w:tc>
          <w:tcPr>
            <w:tcW w:w="3072" w:type="dxa"/>
            <w:gridSpan w:val="2"/>
            <w:noWrap w:val="0"/>
            <w:vAlign w:val="center"/>
          </w:tcPr>
          <w:p>
            <w:pPr>
              <w:rPr>
                <w:rFonts w:hint="eastAsia" w:ascii="华文细黑" w:hAnsi="华文细黑" w:eastAsia="华文细黑" w:cs="华文细黑"/>
                <w:sz w:val="24"/>
                <w:szCs w:val="24"/>
              </w:rPr>
            </w:pPr>
          </w:p>
        </w:tc>
        <w:tc>
          <w:tcPr>
            <w:tcW w:w="1980" w:type="dxa"/>
            <w:gridSpan w:val="2"/>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联系电话：</w:t>
            </w:r>
          </w:p>
        </w:tc>
        <w:tc>
          <w:tcPr>
            <w:tcW w:w="2499" w:type="dxa"/>
            <w:noWrap w:val="0"/>
            <w:vAlign w:val="center"/>
          </w:tcPr>
          <w:p>
            <w:pP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2076"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展品总数（件）</w:t>
            </w:r>
          </w:p>
        </w:tc>
        <w:tc>
          <w:tcPr>
            <w:tcW w:w="3072" w:type="dxa"/>
            <w:gridSpan w:val="2"/>
            <w:noWrap w:val="0"/>
            <w:vAlign w:val="center"/>
          </w:tcPr>
          <w:p>
            <w:pPr>
              <w:rPr>
                <w:rFonts w:hint="eastAsia" w:ascii="华文细黑" w:hAnsi="华文细黑" w:eastAsia="华文细黑" w:cs="华文细黑"/>
                <w:sz w:val="24"/>
                <w:szCs w:val="24"/>
              </w:rPr>
            </w:pPr>
          </w:p>
        </w:tc>
        <w:tc>
          <w:tcPr>
            <w:tcW w:w="1980" w:type="dxa"/>
            <w:gridSpan w:val="2"/>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分件数：</w:t>
            </w:r>
          </w:p>
        </w:tc>
        <w:tc>
          <w:tcPr>
            <w:tcW w:w="2499" w:type="dxa"/>
            <w:noWrap w:val="0"/>
            <w:vAlign w:val="center"/>
          </w:tcPr>
          <w:p>
            <w:pP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2076"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展品体积</w:t>
            </w: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（最大单件）</w:t>
            </w:r>
          </w:p>
        </w:tc>
        <w:tc>
          <w:tcPr>
            <w:tcW w:w="3072" w:type="dxa"/>
            <w:gridSpan w:val="2"/>
            <w:noWrap w:val="0"/>
            <w:vAlign w:val="center"/>
          </w:tcPr>
          <w:p>
            <w:pPr>
              <w:rPr>
                <w:rFonts w:hint="eastAsia" w:ascii="华文细黑" w:hAnsi="华文细黑" w:eastAsia="华文细黑" w:cs="华文细黑"/>
                <w:sz w:val="24"/>
                <w:szCs w:val="24"/>
              </w:rPr>
            </w:pPr>
          </w:p>
        </w:tc>
        <w:tc>
          <w:tcPr>
            <w:tcW w:w="1980" w:type="dxa"/>
            <w:gridSpan w:val="2"/>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展品重量</w:t>
            </w: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（最大单件）</w:t>
            </w:r>
          </w:p>
        </w:tc>
        <w:tc>
          <w:tcPr>
            <w:tcW w:w="2499" w:type="dxa"/>
            <w:noWrap w:val="0"/>
            <w:vAlign w:val="center"/>
          </w:tcPr>
          <w:p>
            <w:pP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2076"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收货单位：</w:t>
            </w:r>
          </w:p>
        </w:tc>
        <w:tc>
          <w:tcPr>
            <w:tcW w:w="7551" w:type="dxa"/>
            <w:gridSpan w:val="5"/>
            <w:noWrap w:val="0"/>
            <w:vAlign w:val="center"/>
          </w:tcPr>
          <w:p>
            <w:pPr>
              <w:spacing w:line="400" w:lineRule="exact"/>
              <w:rPr>
                <w:rFonts w:hint="eastAsia" w:ascii="华文细黑" w:hAnsi="华文细黑" w:eastAsia="华文细黑" w:cs="华文细黑"/>
                <w:sz w:val="24"/>
                <w:szCs w:val="24"/>
                <w:highlight w:val="yellow"/>
              </w:rPr>
            </w:pPr>
            <w:r>
              <w:rPr>
                <w:rFonts w:hint="eastAsia" w:ascii="华文细黑" w:hAnsi="华文细黑" w:eastAsia="华文细黑" w:cs="华文细黑"/>
                <w:sz w:val="24"/>
                <w:szCs w:val="24"/>
              </w:rPr>
              <w:t>厦门国际会展中心展位部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6"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联系人：</w:t>
            </w:r>
          </w:p>
        </w:tc>
        <w:tc>
          <w:tcPr>
            <w:tcW w:w="2712"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巫鹏举</w:t>
            </w:r>
          </w:p>
        </w:tc>
        <w:tc>
          <w:tcPr>
            <w:tcW w:w="2130" w:type="dxa"/>
            <w:gridSpan w:val="2"/>
            <w:noWrap w:val="0"/>
            <w:vAlign w:val="center"/>
          </w:tcPr>
          <w:p>
            <w:pPr>
              <w:ind w:firstLine="360" w:firstLineChars="150"/>
              <w:rPr>
                <w:rFonts w:hint="eastAsia" w:ascii="华文细黑" w:hAnsi="华文细黑" w:eastAsia="华文细黑" w:cs="华文细黑"/>
                <w:sz w:val="24"/>
                <w:szCs w:val="24"/>
              </w:rPr>
            </w:pPr>
            <w:r>
              <w:rPr>
                <w:rFonts w:hint="eastAsia" w:ascii="华文细黑" w:hAnsi="华文细黑" w:eastAsia="华文细黑" w:cs="华文细黑"/>
                <w:sz w:val="24"/>
                <w:szCs w:val="24"/>
              </w:rPr>
              <w:t>电话：</w:t>
            </w:r>
          </w:p>
        </w:tc>
        <w:tc>
          <w:tcPr>
            <w:tcW w:w="2709" w:type="dxa"/>
            <w:gridSpan w:val="2"/>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13906036498</w:t>
            </w:r>
          </w:p>
        </w:tc>
      </w:tr>
    </w:tbl>
    <w:p>
      <w:pPr>
        <w:autoSpaceDE w:val="0"/>
        <w:autoSpaceDN w:val="0"/>
        <w:adjustRightInd w:val="0"/>
        <w:spacing w:line="240" w:lineRule="auto"/>
        <w:jc w:val="left"/>
        <w:rPr>
          <w:rFonts w:hint="eastAsia" w:ascii="华文细黑" w:hAnsi="华文细黑" w:eastAsia="华文细黑" w:cs="华文细黑"/>
          <w:b/>
          <w:kern w:val="0"/>
          <w:sz w:val="32"/>
          <w:szCs w:val="32"/>
          <w:lang w:val="en-US" w:eastAsia="zh-CN"/>
        </w:rPr>
      </w:pPr>
    </w:p>
    <w:p>
      <w:pPr>
        <w:autoSpaceDE w:val="0"/>
        <w:autoSpaceDN w:val="0"/>
        <w:adjustRightInd w:val="0"/>
        <w:spacing w:line="240" w:lineRule="auto"/>
        <w:jc w:val="left"/>
        <w:rPr>
          <w:rFonts w:hint="eastAsia" w:ascii="华文细黑" w:hAnsi="华文细黑" w:eastAsia="华文细黑" w:cs="华文细黑"/>
          <w:b/>
          <w:kern w:val="0"/>
          <w:sz w:val="32"/>
          <w:szCs w:val="32"/>
          <w:bdr w:val="single" w:color="auto" w:sz="4" w:space="0"/>
        </w:rPr>
      </w:pPr>
      <w:bookmarkStart w:id="54" w:name="_Toc30516_WPSOffice_Level1"/>
      <w:bookmarkStart w:id="55" w:name="_Toc10969_WPSOffice_Level1"/>
      <w:r>
        <w:rPr>
          <w:rFonts w:hint="eastAsia" w:ascii="华文细黑" w:hAnsi="华文细黑" w:eastAsia="华文细黑" w:cs="华文细黑"/>
          <w:b/>
          <w:kern w:val="0"/>
          <w:sz w:val="32"/>
          <w:szCs w:val="32"/>
          <w:lang w:val="en-US" w:eastAsia="zh-CN"/>
        </w:rPr>
        <w:t>六</w:t>
      </w:r>
      <w:r>
        <w:rPr>
          <w:rFonts w:hint="eastAsia" w:ascii="华文细黑" w:hAnsi="华文细黑" w:eastAsia="华文细黑" w:cs="华文细黑"/>
          <w:b/>
          <w:kern w:val="0"/>
          <w:sz w:val="32"/>
          <w:szCs w:val="32"/>
        </w:rPr>
        <w:t>、相关收费服务标准及附件</w:t>
      </w:r>
      <w:bookmarkEnd w:id="54"/>
      <w:bookmarkEnd w:id="55"/>
    </w:p>
    <w:p>
      <w:pPr>
        <w:pStyle w:val="28"/>
        <w:spacing w:line="100" w:lineRule="atLeast"/>
        <w:rPr>
          <w:rFonts w:hint="eastAsia" w:ascii="华文细黑" w:hAnsi="华文细黑" w:eastAsia="华文细黑" w:cs="华文细黑"/>
          <w:b/>
          <w:sz w:val="28"/>
          <w:szCs w:val="28"/>
        </w:rPr>
      </w:pPr>
      <w:bookmarkStart w:id="56" w:name="_Toc31214_WPSOffice_Level2"/>
      <w:r>
        <w:rPr>
          <w:rFonts w:hint="eastAsia" w:ascii="华文细黑" w:hAnsi="华文细黑" w:eastAsia="华文细黑" w:cs="华文细黑"/>
          <w:b/>
          <w:sz w:val="28"/>
          <w:szCs w:val="28"/>
        </w:rPr>
        <w:t>1</w:t>
      </w:r>
      <w:r>
        <w:rPr>
          <w:rFonts w:hint="eastAsia" w:ascii="华文细黑" w:hAnsi="华文细黑" w:eastAsia="华文细黑" w:cs="华文细黑"/>
          <w:b/>
          <w:sz w:val="28"/>
          <w:szCs w:val="28"/>
          <w:lang w:val="en-US" w:eastAsia="zh-CN"/>
        </w:rPr>
        <w:t>.</w:t>
      </w:r>
      <w:r>
        <w:rPr>
          <w:rFonts w:hint="eastAsia" w:ascii="华文细黑" w:hAnsi="华文细黑" w:eastAsia="华文细黑" w:cs="华文细黑"/>
          <w:b/>
          <w:sz w:val="28"/>
          <w:szCs w:val="28"/>
        </w:rPr>
        <w:t>相关收费服务标准</w:t>
      </w:r>
      <w:bookmarkEnd w:id="56"/>
    </w:p>
    <w:p>
      <w:pPr>
        <w:pStyle w:val="26"/>
        <w:rPr>
          <w:rFonts w:hint="eastAsia" w:ascii="华文细黑" w:hAnsi="华文细黑" w:eastAsia="华文细黑" w:cs="华文细黑"/>
          <w:kern w:val="2"/>
          <w:sz w:val="24"/>
          <w:szCs w:val="24"/>
          <w:lang w:val="en-US" w:eastAsia="zh-CN" w:bidi="ar-SA"/>
        </w:rPr>
      </w:pPr>
      <w:r>
        <w:rPr>
          <w:rFonts w:hint="eastAsia" w:ascii="华文细黑" w:hAnsi="华文细黑" w:eastAsia="华文细黑" w:cs="华文细黑"/>
          <w:kern w:val="2"/>
          <w:sz w:val="24"/>
          <w:szCs w:val="24"/>
          <w:lang w:val="en-US" w:eastAsia="zh-CN" w:bidi="ar-SA"/>
        </w:rPr>
        <w:t>1.1展具租赁服务表格</w:t>
      </w:r>
    </w:p>
    <w:tbl>
      <w:tblPr>
        <w:tblStyle w:val="17"/>
        <w:tblW w:w="90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19"/>
        <w:gridCol w:w="3088"/>
        <w:gridCol w:w="583"/>
        <w:gridCol w:w="1515"/>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8" w:hRule="atLeast"/>
        </w:trPr>
        <w:tc>
          <w:tcPr>
            <w:tcW w:w="2219"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项目名称</w:t>
            </w:r>
          </w:p>
        </w:tc>
        <w:tc>
          <w:tcPr>
            <w:tcW w:w="3088"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规格（mm）</w:t>
            </w:r>
          </w:p>
        </w:tc>
        <w:tc>
          <w:tcPr>
            <w:tcW w:w="583"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单位</w:t>
            </w:r>
          </w:p>
        </w:tc>
        <w:tc>
          <w:tcPr>
            <w:tcW w:w="1515" w:type="dxa"/>
            <w:shd w:val="clear" w:color="auto" w:fill="D8D8D8"/>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价格（RMB）</w:t>
            </w:r>
          </w:p>
        </w:tc>
        <w:tc>
          <w:tcPr>
            <w:tcW w:w="1687"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保证金(RMB）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长臂灯</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100W</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盏</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70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7"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玻璃高柜</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1000(L)*500(W)*2000(H)mm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张</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250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2"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玻璃中柜</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500(L)*500(W)*2000(H)mm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250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7"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玻璃矮柜（三层）</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1500(L)*500(W)*1000(H)mm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250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2"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玻璃矮柜（一层）</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1000(L)*500(W)*1000(H)mm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250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7"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玻璃矮柜（三层）</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1200(L)*500(W)*1000(H)mm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515"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250</w:t>
            </w:r>
          </w:p>
        </w:tc>
        <w:tc>
          <w:tcPr>
            <w:tcW w:w="1687"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玻璃圆桌</w:t>
            </w:r>
          </w:p>
        </w:tc>
        <w:tc>
          <w:tcPr>
            <w:tcW w:w="3088"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配4张洽谈椅</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套</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250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2"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台板及支架</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990(L)*300(W)*12mm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套</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70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2"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方形洽谈桌</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650(L)*650(W)*680(H)mm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张</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w:t>
            </w:r>
          </w:p>
        </w:tc>
        <w:tc>
          <w:tcPr>
            <w:tcW w:w="1687" w:type="dxa"/>
            <w:noWrap w:val="0"/>
            <w:vAlign w:val="center"/>
          </w:tcPr>
          <w:p>
            <w:pPr>
              <w:spacing w:line="240"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0"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铝框咨询桌</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974(L)*474(W)*760(H)mm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张</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w:t>
            </w:r>
          </w:p>
        </w:tc>
        <w:tc>
          <w:tcPr>
            <w:tcW w:w="1687" w:type="dxa"/>
            <w:noWrap w:val="0"/>
            <w:vAlign w:val="center"/>
          </w:tcPr>
          <w:p>
            <w:pPr>
              <w:spacing w:line="240"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9"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洽谈椅</w:t>
            </w:r>
          </w:p>
        </w:tc>
        <w:tc>
          <w:tcPr>
            <w:tcW w:w="3088" w:type="dxa"/>
            <w:noWrap w:val="0"/>
            <w:vAlign w:val="center"/>
          </w:tcPr>
          <w:p>
            <w:pPr>
              <w:spacing w:line="240" w:lineRule="auto"/>
              <w:jc w:val="center"/>
              <w:rPr>
                <w:rFonts w:hint="eastAsia" w:ascii="华文细黑" w:hAnsi="华文细黑" w:eastAsia="华文细黑" w:cs="华文细黑"/>
                <w:sz w:val="24"/>
                <w:szCs w:val="24"/>
              </w:rPr>
            </w:pP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把</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50</w:t>
            </w:r>
          </w:p>
        </w:tc>
        <w:tc>
          <w:tcPr>
            <w:tcW w:w="1687" w:type="dxa"/>
            <w:noWrap w:val="0"/>
            <w:vAlign w:val="center"/>
          </w:tcPr>
          <w:p>
            <w:pPr>
              <w:spacing w:line="240"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6"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饮水机</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含矿泉水1桶</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台</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4</w:t>
            </w:r>
            <w:r>
              <w:rPr>
                <w:rFonts w:hint="eastAsia" w:ascii="华文细黑" w:hAnsi="华文细黑" w:eastAsia="华文细黑" w:cs="华文细黑"/>
                <w:sz w:val="24"/>
                <w:szCs w:val="24"/>
              </w:rPr>
              <w:t>00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r>
              <w:rPr>
                <w:rFonts w:hint="eastAsia" w:ascii="华文细黑" w:hAnsi="华文细黑" w:eastAsia="华文细黑" w:cs="华文细黑"/>
                <w:sz w:val="24"/>
                <w:szCs w:val="24"/>
                <w:lang w:val="en-US" w:eastAsia="zh-CN"/>
              </w:rPr>
              <w:t>6</w:t>
            </w:r>
            <w:r>
              <w:rPr>
                <w:rFonts w:hint="eastAsia" w:ascii="华文细黑" w:hAnsi="华文细黑" w:eastAsia="华文细黑" w:cs="华文细黑"/>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6"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货架</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1000(L)*300(W)*1900(H)mm</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515"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20</w:t>
            </w:r>
            <w:r>
              <w:rPr>
                <w:rFonts w:hint="eastAsia" w:ascii="华文细黑" w:hAnsi="华文细黑" w:eastAsia="华文细黑" w:cs="华文细黑"/>
                <w:sz w:val="24"/>
                <w:szCs w:val="24"/>
              </w:rPr>
              <w:t>0</w:t>
            </w:r>
          </w:p>
        </w:tc>
        <w:tc>
          <w:tcPr>
            <w:tcW w:w="1687"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0"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标准展位增加展墙</w:t>
            </w:r>
          </w:p>
        </w:tc>
        <w:tc>
          <w:tcPr>
            <w:tcW w:w="3088" w:type="dxa"/>
            <w:noWrap w:val="0"/>
            <w:vAlign w:val="center"/>
          </w:tcPr>
          <w:p>
            <w:pPr>
              <w:spacing w:line="240" w:lineRule="auto"/>
              <w:jc w:val="center"/>
              <w:rPr>
                <w:rFonts w:hint="eastAsia" w:ascii="华文细黑" w:hAnsi="华文细黑" w:eastAsia="华文细黑" w:cs="华文细黑"/>
                <w:sz w:val="24"/>
                <w:szCs w:val="24"/>
              </w:rPr>
            </w:pP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米</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0</w:t>
            </w:r>
          </w:p>
        </w:tc>
        <w:tc>
          <w:tcPr>
            <w:tcW w:w="1687" w:type="dxa"/>
            <w:noWrap w:val="0"/>
            <w:vAlign w:val="center"/>
          </w:tcPr>
          <w:p>
            <w:pPr>
              <w:spacing w:line="240"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0"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标准展位拆除</w:t>
            </w:r>
          </w:p>
        </w:tc>
        <w:tc>
          <w:tcPr>
            <w:tcW w:w="3088"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3000*3000*2500</w:t>
            </w: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个</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20</w:t>
            </w:r>
            <w:r>
              <w:rPr>
                <w:rFonts w:hint="eastAsia" w:ascii="华文细黑" w:hAnsi="华文细黑" w:eastAsia="华文细黑" w:cs="华文细黑"/>
                <w:sz w:val="24"/>
                <w:szCs w:val="24"/>
              </w:rPr>
              <w:t>0</w:t>
            </w:r>
          </w:p>
        </w:tc>
        <w:tc>
          <w:tcPr>
            <w:tcW w:w="1687" w:type="dxa"/>
            <w:noWrap w:val="0"/>
            <w:vAlign w:val="center"/>
          </w:tcPr>
          <w:p>
            <w:pPr>
              <w:spacing w:line="240"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exact"/>
        </w:trPr>
        <w:tc>
          <w:tcPr>
            <w:tcW w:w="2219"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射灯移位</w:t>
            </w:r>
          </w:p>
        </w:tc>
        <w:tc>
          <w:tcPr>
            <w:tcW w:w="3088" w:type="dxa"/>
            <w:noWrap w:val="0"/>
            <w:vAlign w:val="center"/>
          </w:tcPr>
          <w:p>
            <w:pPr>
              <w:spacing w:line="240" w:lineRule="auto"/>
              <w:jc w:val="center"/>
              <w:rPr>
                <w:rFonts w:hint="eastAsia" w:ascii="华文细黑" w:hAnsi="华文细黑" w:eastAsia="华文细黑" w:cs="华文细黑"/>
                <w:sz w:val="24"/>
                <w:szCs w:val="24"/>
              </w:rPr>
            </w:pPr>
          </w:p>
        </w:tc>
        <w:tc>
          <w:tcPr>
            <w:tcW w:w="5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盏</w:t>
            </w:r>
          </w:p>
        </w:tc>
        <w:tc>
          <w:tcPr>
            <w:tcW w:w="1515"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15</w:t>
            </w:r>
          </w:p>
        </w:tc>
        <w:tc>
          <w:tcPr>
            <w:tcW w:w="1687" w:type="dxa"/>
            <w:noWrap w:val="0"/>
            <w:vAlign w:val="center"/>
          </w:tcPr>
          <w:p>
            <w:pPr>
              <w:spacing w:line="240" w:lineRule="auto"/>
              <w:jc w:val="center"/>
              <w:rPr>
                <w:rFonts w:hint="eastAsia" w:ascii="华文细黑" w:hAnsi="华文细黑" w:eastAsia="华文细黑" w:cs="华文细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44" w:hRule="exact"/>
        </w:trPr>
        <w:tc>
          <w:tcPr>
            <w:tcW w:w="9092" w:type="dxa"/>
            <w:gridSpan w:val="5"/>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备注：以上价格均为一个展期价。如有超出再另行收费。</w:t>
            </w:r>
          </w:p>
        </w:tc>
      </w:tr>
    </w:tbl>
    <w:p>
      <w:pPr>
        <w:rPr>
          <w:rFonts w:hint="eastAsia" w:ascii="华文细黑" w:hAnsi="华文细黑" w:eastAsia="华文细黑" w:cs="华文细黑"/>
          <w:sz w:val="24"/>
          <w:szCs w:val="24"/>
          <w:lang w:val="en-US" w:eastAsia="zh-CN"/>
        </w:rPr>
      </w:pPr>
    </w:p>
    <w:p>
      <w:pPr>
        <w:rPr>
          <w:rFonts w:hint="eastAsia" w:ascii="华文细黑" w:hAnsi="华文细黑" w:eastAsia="华文细黑" w:cs="华文细黑"/>
          <w:sz w:val="24"/>
          <w:szCs w:val="24"/>
          <w:lang w:val="en-US" w:eastAsia="zh-CN"/>
        </w:rPr>
      </w:pP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1.2</w:t>
      </w:r>
      <w:r>
        <w:rPr>
          <w:rFonts w:hint="eastAsia" w:ascii="华文细黑" w:hAnsi="华文细黑" w:eastAsia="华文细黑" w:cs="华文细黑"/>
          <w:sz w:val="24"/>
          <w:szCs w:val="24"/>
        </w:rPr>
        <w:t xml:space="preserve"> 通讯租赁服务表格</w:t>
      </w:r>
    </w:p>
    <w:tbl>
      <w:tblPr>
        <w:tblStyle w:val="17"/>
        <w:tblpPr w:leftFromText="180" w:rightFromText="180" w:vertAnchor="text" w:horzAnchor="page" w:tblpX="1310" w:tblpY="41"/>
        <w:tblOverlap w:val="never"/>
        <w:tblW w:w="9801" w:type="dxa"/>
        <w:tblInd w:w="-4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722"/>
        <w:gridCol w:w="4432"/>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2" w:type="dxa"/>
            <w:shd w:val="clear" w:color="auto" w:fill="D8D8D8"/>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项目名称</w:t>
            </w:r>
          </w:p>
        </w:tc>
        <w:tc>
          <w:tcPr>
            <w:tcW w:w="722" w:type="dxa"/>
            <w:shd w:val="clear" w:color="auto" w:fill="D8D8D8"/>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单位</w:t>
            </w:r>
          </w:p>
        </w:tc>
        <w:tc>
          <w:tcPr>
            <w:tcW w:w="4432" w:type="dxa"/>
            <w:shd w:val="clear" w:color="auto" w:fill="D8D8D8"/>
            <w:noWrap w:val="0"/>
            <w:vAlign w:val="center"/>
          </w:tcPr>
          <w:p>
            <w:pPr>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单价（元/展期）</w:t>
            </w:r>
          </w:p>
        </w:tc>
        <w:tc>
          <w:tcPr>
            <w:tcW w:w="3055" w:type="dxa"/>
            <w:shd w:val="clear" w:color="auto" w:fill="D8D8D8"/>
            <w:noWrap w:val="0"/>
            <w:vAlign w:val="center"/>
          </w:tcPr>
          <w:p>
            <w:pPr>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押金（元/展期）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trPr>
        <w:tc>
          <w:tcPr>
            <w:tcW w:w="1592"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市内电话</w:t>
            </w:r>
          </w:p>
        </w:tc>
        <w:tc>
          <w:tcPr>
            <w:tcW w:w="722" w:type="dxa"/>
            <w:vMerge w:val="restart"/>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部</w:t>
            </w:r>
          </w:p>
        </w:tc>
        <w:tc>
          <w:tcPr>
            <w:tcW w:w="4432"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150（话机安装费+市话费）</w:t>
            </w:r>
          </w:p>
        </w:tc>
        <w:tc>
          <w:tcPr>
            <w:tcW w:w="3055"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200（话机押金）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rPr>
        <w:tc>
          <w:tcPr>
            <w:tcW w:w="1592"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国内长途</w:t>
            </w:r>
          </w:p>
        </w:tc>
        <w:tc>
          <w:tcPr>
            <w:tcW w:w="722" w:type="dxa"/>
            <w:vMerge w:val="continue"/>
            <w:noWrap w:val="0"/>
            <w:vAlign w:val="center"/>
          </w:tcPr>
          <w:p>
            <w:pPr>
              <w:rPr>
                <w:rFonts w:hint="eastAsia" w:ascii="华文细黑" w:hAnsi="华文细黑" w:eastAsia="华文细黑" w:cs="华文细黑"/>
                <w:sz w:val="24"/>
                <w:szCs w:val="24"/>
              </w:rPr>
            </w:pPr>
          </w:p>
        </w:tc>
        <w:tc>
          <w:tcPr>
            <w:tcW w:w="4432"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150（话机安装费+市话费）+国内长途通话费</w:t>
            </w:r>
          </w:p>
        </w:tc>
        <w:tc>
          <w:tcPr>
            <w:tcW w:w="3055"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300（话机、长途话费押金）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trPr>
        <w:tc>
          <w:tcPr>
            <w:tcW w:w="1592"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国际长途</w:t>
            </w:r>
          </w:p>
        </w:tc>
        <w:tc>
          <w:tcPr>
            <w:tcW w:w="722" w:type="dxa"/>
            <w:vMerge w:val="continue"/>
            <w:noWrap w:val="0"/>
            <w:vAlign w:val="center"/>
          </w:tcPr>
          <w:p>
            <w:pPr>
              <w:rPr>
                <w:rFonts w:hint="eastAsia" w:ascii="华文细黑" w:hAnsi="华文细黑" w:eastAsia="华文细黑" w:cs="华文细黑"/>
                <w:sz w:val="24"/>
                <w:szCs w:val="24"/>
              </w:rPr>
            </w:pPr>
          </w:p>
        </w:tc>
        <w:tc>
          <w:tcPr>
            <w:tcW w:w="4432"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150（话机安装费+市话费）+国际长途通话费</w:t>
            </w:r>
          </w:p>
        </w:tc>
        <w:tc>
          <w:tcPr>
            <w:tcW w:w="3055" w:type="dxa"/>
            <w:noWrap w:val="0"/>
            <w:vAlign w:val="center"/>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1000（话机、长途话费押金）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trPr>
        <w:tc>
          <w:tcPr>
            <w:tcW w:w="9801" w:type="dxa"/>
            <w:gridSpan w:val="4"/>
            <w:noWrap w:val="0"/>
            <w:vAlign w:val="center"/>
          </w:tcPr>
          <w:p>
            <w:pPr>
              <w:autoSpaceDE w:val="0"/>
              <w:autoSpaceDN w:val="0"/>
              <w:adjustRightInd w:val="0"/>
              <w:spacing w:line="240" w:lineRule="auto"/>
              <w:jc w:val="left"/>
              <w:rPr>
                <w:rFonts w:hint="eastAsia" w:ascii="华文细黑" w:hAnsi="华文细黑" w:eastAsia="华文细黑" w:cs="华文细黑"/>
                <w:kern w:val="0"/>
                <w:sz w:val="24"/>
                <w:szCs w:val="24"/>
              </w:rPr>
            </w:pPr>
            <w:r>
              <w:rPr>
                <w:rFonts w:hint="eastAsia" w:ascii="华文细黑" w:hAnsi="华文细黑" w:eastAsia="华文细黑" w:cs="华文细黑"/>
                <w:kern w:val="0"/>
                <w:sz w:val="24"/>
                <w:szCs w:val="24"/>
              </w:rPr>
              <w:t>押金退还方式：</w:t>
            </w:r>
          </w:p>
          <w:p>
            <w:pPr>
              <w:autoSpaceDE w:val="0"/>
              <w:autoSpaceDN w:val="0"/>
              <w:adjustRightInd w:val="0"/>
              <w:spacing w:line="240" w:lineRule="auto"/>
              <w:ind w:left="900" w:leftChars="200" w:hanging="480" w:hangingChars="200"/>
              <w:jc w:val="left"/>
              <w:rPr>
                <w:rFonts w:hint="eastAsia" w:ascii="华文细黑" w:hAnsi="华文细黑" w:eastAsia="华文细黑" w:cs="华文细黑"/>
                <w:kern w:val="0"/>
                <w:sz w:val="24"/>
                <w:szCs w:val="24"/>
              </w:rPr>
            </w:pPr>
            <w:r>
              <w:rPr>
                <w:rFonts w:hint="eastAsia" w:ascii="华文细黑" w:hAnsi="华文细黑" w:eastAsia="华文细黑" w:cs="华文细黑"/>
                <w:kern w:val="0"/>
                <w:sz w:val="24"/>
                <w:szCs w:val="24"/>
              </w:rPr>
              <w:t>1. 现金缴纳押金，退款人须携收款单原件及本人身份证至现场服务台，留存收款账号及开户行，于撤展结束后</w:t>
            </w:r>
            <w:r>
              <w:rPr>
                <w:rFonts w:hint="eastAsia" w:ascii="华文细黑" w:hAnsi="华文细黑" w:eastAsia="华文细黑" w:cs="华文细黑"/>
                <w:kern w:val="0"/>
                <w:sz w:val="24"/>
                <w:szCs w:val="24"/>
                <w:lang w:val="en-US" w:eastAsia="zh-CN"/>
              </w:rPr>
              <w:t>三</w:t>
            </w:r>
            <w:r>
              <w:rPr>
                <w:rFonts w:hint="eastAsia" w:ascii="华文细黑" w:hAnsi="华文细黑" w:eastAsia="华文细黑" w:cs="华文细黑"/>
                <w:kern w:val="0"/>
                <w:sz w:val="24"/>
                <w:szCs w:val="24"/>
              </w:rPr>
              <w:t>十个工作日内退还。</w:t>
            </w:r>
          </w:p>
          <w:p>
            <w:pPr>
              <w:autoSpaceDE w:val="0"/>
              <w:autoSpaceDN w:val="0"/>
              <w:adjustRightInd w:val="0"/>
              <w:spacing w:line="240" w:lineRule="auto"/>
              <w:ind w:firstLine="480" w:firstLineChars="200"/>
              <w:jc w:val="left"/>
              <w:rPr>
                <w:rFonts w:hint="eastAsia" w:ascii="华文细黑" w:hAnsi="华文细黑" w:eastAsia="华文细黑" w:cs="华文细黑"/>
                <w:kern w:val="0"/>
                <w:sz w:val="24"/>
                <w:szCs w:val="24"/>
              </w:rPr>
            </w:pPr>
            <w:r>
              <w:rPr>
                <w:rFonts w:hint="eastAsia" w:ascii="华文细黑" w:hAnsi="华文细黑" w:eastAsia="华文细黑" w:cs="华文细黑"/>
                <w:kern w:val="0"/>
                <w:sz w:val="24"/>
                <w:szCs w:val="24"/>
              </w:rPr>
              <w:t>2. 电汇缴纳押金，将随施工押金于</w:t>
            </w:r>
            <w:r>
              <w:rPr>
                <w:rFonts w:hint="eastAsia" w:ascii="华文细黑" w:hAnsi="华文细黑" w:eastAsia="华文细黑" w:cs="华文细黑"/>
                <w:kern w:val="0"/>
                <w:sz w:val="24"/>
                <w:szCs w:val="24"/>
                <w:lang w:val="en-US" w:eastAsia="zh-CN"/>
              </w:rPr>
              <w:t>三</w:t>
            </w:r>
            <w:r>
              <w:rPr>
                <w:rFonts w:hint="eastAsia" w:ascii="华文细黑" w:hAnsi="华文细黑" w:eastAsia="华文细黑" w:cs="华文细黑"/>
                <w:kern w:val="0"/>
                <w:sz w:val="24"/>
                <w:szCs w:val="24"/>
              </w:rPr>
              <w:t>十个工作日内退还至原账户。</w:t>
            </w:r>
          </w:p>
          <w:p>
            <w:pPr>
              <w:autoSpaceDE w:val="0"/>
              <w:autoSpaceDN w:val="0"/>
              <w:adjustRightInd w:val="0"/>
              <w:spacing w:line="240" w:lineRule="auto"/>
              <w:ind w:firstLine="480" w:firstLineChars="200"/>
              <w:jc w:val="left"/>
              <w:rPr>
                <w:rFonts w:hint="eastAsia" w:ascii="华文细黑" w:hAnsi="华文细黑" w:eastAsia="华文细黑" w:cs="华文细黑"/>
                <w:sz w:val="24"/>
                <w:szCs w:val="28"/>
              </w:rPr>
            </w:pPr>
          </w:p>
        </w:tc>
      </w:tr>
    </w:tbl>
    <w:p>
      <w:pPr>
        <w:adjustRightInd w:val="0"/>
        <w:snapToGrid w:val="0"/>
        <w:spacing w:line="400" w:lineRule="exact"/>
        <w:jc w:val="left"/>
        <w:rPr>
          <w:rFonts w:hint="eastAsia" w:ascii="华文细黑" w:hAnsi="华文细黑" w:eastAsia="华文细黑" w:cs="华文细黑"/>
          <w:b/>
          <w:bCs/>
          <w:color w:val="0000FF"/>
          <w:szCs w:val="21"/>
        </w:rPr>
      </w:pPr>
      <w:r>
        <w:rPr>
          <w:rFonts w:hint="eastAsia" w:ascii="华文细黑" w:hAnsi="华文细黑" w:eastAsia="华文细黑" w:cs="华文细黑"/>
          <w:b/>
          <w:bCs/>
          <w:color w:val="0000FF"/>
          <w:szCs w:val="21"/>
          <w:lang w:eastAsia="zh-CN"/>
        </w:rPr>
        <w:t>申请邮箱</w:t>
      </w:r>
      <w:r>
        <w:rPr>
          <w:rFonts w:hint="eastAsia" w:ascii="华文细黑" w:hAnsi="华文细黑" w:eastAsia="华文细黑" w:cs="华文细黑"/>
          <w:b/>
          <w:bCs/>
          <w:color w:val="0000FF"/>
          <w:szCs w:val="21"/>
        </w:rPr>
        <w:t>：</w:t>
      </w:r>
      <w:r>
        <w:rPr>
          <w:rFonts w:hint="eastAsia" w:ascii="华文细黑" w:hAnsi="华文细黑" w:eastAsia="华文细黑" w:cs="华文细黑"/>
          <w:b/>
          <w:bCs/>
          <w:color w:val="0000FF"/>
          <w:szCs w:val="21"/>
          <w:highlight w:val="none"/>
          <w:lang w:val="en-US" w:eastAsia="zh-CN"/>
        </w:rPr>
        <w:t>fjfloor@163.com</w:t>
      </w:r>
      <w:r>
        <w:rPr>
          <w:rFonts w:hint="eastAsia" w:ascii="华文细黑" w:hAnsi="华文细黑" w:eastAsia="华文细黑" w:cs="华文细黑"/>
          <w:b/>
          <w:bCs/>
          <w:color w:val="0000FF"/>
          <w:szCs w:val="21"/>
          <w:highlight w:val="none"/>
        </w:rPr>
        <w:t xml:space="preserve"> </w:t>
      </w:r>
      <w:r>
        <w:rPr>
          <w:rFonts w:hint="eastAsia" w:ascii="华文细黑" w:hAnsi="华文细黑" w:eastAsia="华文细黑" w:cs="华文细黑"/>
          <w:b/>
          <w:bCs/>
          <w:color w:val="0000FF"/>
          <w:szCs w:val="21"/>
        </w:rPr>
        <w:t>提交订单，订单在全部付款收到后生效。</w:t>
      </w:r>
    </w:p>
    <w:p>
      <w:pPr>
        <w:adjustRightInd w:val="0"/>
        <w:snapToGrid w:val="0"/>
        <w:spacing w:line="400" w:lineRule="exact"/>
        <w:jc w:val="left"/>
        <w:rPr>
          <w:rFonts w:hint="default" w:ascii="华文细黑" w:hAnsi="华文细黑" w:eastAsia="华文细黑" w:cs="华文细黑"/>
          <w:b/>
          <w:bCs/>
          <w:color w:val="0000FF"/>
          <w:szCs w:val="21"/>
          <w:lang w:val="en-US" w:eastAsia="zh-CN"/>
        </w:rPr>
      </w:pPr>
      <w:r>
        <w:rPr>
          <w:rFonts w:hint="eastAsia" w:ascii="华文细黑" w:hAnsi="华文细黑" w:eastAsia="华文细黑" w:cs="华文细黑"/>
          <w:b/>
          <w:bCs/>
          <w:color w:val="0000FF"/>
          <w:szCs w:val="21"/>
          <w:lang w:eastAsia="zh-CN"/>
        </w:rPr>
        <w:t>组委会</w:t>
      </w:r>
      <w:r>
        <w:rPr>
          <w:rFonts w:hint="eastAsia" w:ascii="华文细黑" w:hAnsi="华文细黑" w:eastAsia="华文细黑" w:cs="华文细黑"/>
          <w:b/>
          <w:bCs/>
          <w:color w:val="0000FF"/>
          <w:szCs w:val="21"/>
        </w:rPr>
        <w:t>联系人：</w:t>
      </w:r>
      <w:r>
        <w:rPr>
          <w:rFonts w:hint="eastAsia" w:ascii="华文细黑" w:hAnsi="华文细黑" w:eastAsia="华文细黑" w:cs="华文细黑"/>
          <w:b/>
          <w:bCs/>
          <w:color w:val="0000FF"/>
          <w:szCs w:val="21"/>
          <w:lang w:eastAsia="zh-CN"/>
        </w:rPr>
        <w:t>颜秘书长</w:t>
      </w:r>
      <w:r>
        <w:rPr>
          <w:rFonts w:hint="eastAsia" w:ascii="华文细黑" w:hAnsi="华文细黑" w:eastAsia="华文细黑" w:cs="华文细黑"/>
          <w:b/>
          <w:bCs/>
          <w:color w:val="0000FF"/>
          <w:szCs w:val="21"/>
          <w:lang w:val="en-US" w:eastAsia="zh-CN"/>
        </w:rPr>
        <w:t xml:space="preserve"> 18259281820/吕主任 13799338358/</w:t>
      </w:r>
      <w:r>
        <w:rPr>
          <w:rFonts w:hint="eastAsia" w:ascii="华文细黑" w:hAnsi="华文细黑" w:eastAsia="华文细黑" w:cs="华文细黑"/>
          <w:b/>
          <w:bCs/>
          <w:color w:val="0000FF"/>
          <w:szCs w:val="21"/>
          <w:lang w:eastAsia="zh-CN"/>
        </w:rPr>
        <w:t>徐建东</w:t>
      </w:r>
      <w:r>
        <w:rPr>
          <w:rFonts w:hint="eastAsia" w:ascii="华文细黑" w:hAnsi="华文细黑" w:eastAsia="华文细黑" w:cs="华文细黑"/>
          <w:b/>
          <w:bCs/>
          <w:color w:val="0000FF"/>
          <w:szCs w:val="21"/>
          <w:lang w:val="en-US" w:eastAsia="zh-CN"/>
        </w:rPr>
        <w:t xml:space="preserve"> 13950105593（微信同号）</w:t>
      </w:r>
    </w:p>
    <w:p>
      <w:pPr>
        <w:spacing w:line="240" w:lineRule="auto"/>
        <w:rPr>
          <w:rFonts w:hint="eastAsia" w:ascii="华文细黑" w:hAnsi="华文细黑" w:eastAsia="华文细黑" w:cs="华文细黑"/>
          <w:sz w:val="24"/>
          <w:szCs w:val="24"/>
          <w:lang w:val="en-US" w:eastAsia="zh-CN"/>
        </w:rPr>
      </w:pPr>
    </w:p>
    <w:p>
      <w:p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1.3</w:t>
      </w:r>
      <w:r>
        <w:rPr>
          <w:rFonts w:hint="eastAsia" w:ascii="华文细黑" w:hAnsi="华文细黑" w:eastAsia="华文细黑" w:cs="华文细黑"/>
          <w:sz w:val="24"/>
          <w:szCs w:val="24"/>
        </w:rPr>
        <w:t>现场管理服务表格</w:t>
      </w:r>
    </w:p>
    <w:tbl>
      <w:tblPr>
        <w:tblStyle w:val="17"/>
        <w:tblW w:w="9240" w:type="dxa"/>
        <w:jc w:val="center"/>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2536"/>
        <w:gridCol w:w="2079"/>
        <w:gridCol w:w="993"/>
        <w:gridCol w:w="3632"/>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17" w:hRule="atLeast"/>
          <w:jc w:val="center"/>
        </w:trPr>
        <w:tc>
          <w:tcPr>
            <w:tcW w:w="4615" w:type="dxa"/>
            <w:gridSpan w:val="2"/>
            <w:tcBorders>
              <w:top w:val="single" w:color="auto" w:sz="4" w:space="0"/>
              <w:left w:val="single" w:color="auto" w:sz="4" w:space="0"/>
              <w:bottom w:val="single" w:color="auto" w:sz="4" w:space="0"/>
              <w:right w:val="single" w:color="auto" w:sz="4" w:space="0"/>
            </w:tcBorders>
            <w:shd w:val="clear" w:color="auto" w:fill="D9D9D9"/>
            <w:noWrap w:val="0"/>
            <w:vAlign w:val="top"/>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项 目</w:t>
            </w:r>
          </w:p>
        </w:tc>
        <w:tc>
          <w:tcPr>
            <w:tcW w:w="993" w:type="dxa"/>
            <w:tcBorders>
              <w:top w:val="single" w:color="auto" w:sz="4" w:space="0"/>
              <w:left w:val="single" w:color="auto" w:sz="4" w:space="0"/>
              <w:bottom w:val="single" w:color="auto" w:sz="4" w:space="0"/>
              <w:right w:val="single" w:color="auto" w:sz="4" w:space="0"/>
            </w:tcBorders>
            <w:shd w:val="clear" w:color="auto" w:fill="D9D9D9"/>
            <w:noWrap w:val="0"/>
            <w:vAlign w:val="top"/>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单 位</w:t>
            </w:r>
          </w:p>
        </w:tc>
        <w:tc>
          <w:tcPr>
            <w:tcW w:w="3632" w:type="dxa"/>
            <w:tcBorders>
              <w:top w:val="single" w:color="auto" w:sz="4" w:space="0"/>
              <w:left w:val="single" w:color="auto" w:sz="4" w:space="0"/>
              <w:bottom w:val="single" w:color="auto" w:sz="4" w:space="0"/>
              <w:right w:val="single" w:color="auto" w:sz="4" w:space="0"/>
            </w:tcBorders>
            <w:shd w:val="clear" w:color="auto" w:fill="D9D9D9"/>
            <w:noWrap w:val="0"/>
            <w:vAlign w:val="top"/>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价格(RMB)</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561" w:hRule="atLeast"/>
          <w:jc w:val="center"/>
        </w:trPr>
        <w:tc>
          <w:tcPr>
            <w:tcW w:w="461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特装展台施工管理费</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每平方</w:t>
            </w:r>
          </w:p>
        </w:tc>
        <w:tc>
          <w:tcPr>
            <w:tcW w:w="363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highlight w:val="none"/>
              </w:rPr>
              <w:t>30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424" w:hRule="atLeast"/>
          <w:jc w:val="center"/>
        </w:trPr>
        <w:tc>
          <w:tcPr>
            <w:tcW w:w="461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布撤展证</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张</w:t>
            </w:r>
          </w:p>
        </w:tc>
        <w:tc>
          <w:tcPr>
            <w:tcW w:w="363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highlight w:val="none"/>
              </w:rPr>
            </w:pPr>
            <w:r>
              <w:rPr>
                <w:rFonts w:hint="eastAsia" w:ascii="华文细黑" w:hAnsi="华文细黑" w:eastAsia="华文细黑" w:cs="华文细黑"/>
                <w:sz w:val="24"/>
                <w:szCs w:val="24"/>
                <w:highlight w:val="none"/>
              </w:rPr>
              <w:t>10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cantSplit/>
          <w:trHeight w:val="682" w:hRule="atLeast"/>
          <w:jc w:val="center"/>
        </w:trPr>
        <w:tc>
          <w:tcPr>
            <w:tcW w:w="2536" w:type="dxa"/>
            <w:vMerge w:val="restart"/>
            <w:tcBorders>
              <w:top w:val="single" w:color="auto" w:sz="4" w:space="0"/>
              <w:left w:val="single" w:color="auto" w:sz="4" w:space="0"/>
              <w:right w:val="single" w:color="auto" w:sz="4" w:space="0"/>
            </w:tcBorders>
            <w:noWrap w:val="0"/>
            <w:vAlign w:val="center"/>
          </w:tcPr>
          <w:p>
            <w:pPr>
              <w:pStyle w:val="15"/>
              <w:widowControl w:val="0"/>
              <w:spacing w:before="0" w:beforeAutospacing="0" w:after="0" w:afterAutospacing="0"/>
              <w:jc w:val="center"/>
              <w:rPr>
                <w:rFonts w:hint="eastAsia" w:ascii="华文细黑" w:hAnsi="华文细黑" w:eastAsia="华文细黑" w:cs="华文细黑"/>
              </w:rPr>
            </w:pPr>
            <w:r>
              <w:rPr>
                <w:rFonts w:hint="eastAsia" w:ascii="华文细黑" w:hAnsi="华文细黑" w:eastAsia="华文细黑" w:cs="华文细黑"/>
                <w:kern w:val="2"/>
                <w:sz w:val="24"/>
                <w:szCs w:val="24"/>
                <w:lang w:val="en-US" w:eastAsia="zh-CN" w:bidi="ar-SA"/>
              </w:rPr>
              <w:t>加班管理费</w:t>
            </w:r>
          </w:p>
        </w:tc>
        <w:tc>
          <w:tcPr>
            <w:tcW w:w="207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18:00-24:00</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小时</w:t>
            </w:r>
          </w:p>
        </w:tc>
        <w:tc>
          <w:tcPr>
            <w:tcW w:w="363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1家/展</w:t>
            </w:r>
            <w:r>
              <w:rPr>
                <w:rFonts w:hint="eastAsia" w:ascii="华文细黑" w:hAnsi="华文细黑" w:eastAsia="华文细黑" w:cs="华文细黑"/>
                <w:sz w:val="24"/>
                <w:szCs w:val="28"/>
                <w:lang w:val="en-US" w:eastAsia="zh-CN"/>
              </w:rPr>
              <w:t>位</w:t>
            </w:r>
            <w:r>
              <w:rPr>
                <w:rFonts w:hint="eastAsia" w:ascii="华文细黑" w:hAnsi="华文细黑" w:eastAsia="华文细黑" w:cs="华文细黑"/>
                <w:sz w:val="24"/>
                <w:szCs w:val="28"/>
              </w:rPr>
              <w:t>：1</w:t>
            </w:r>
            <w:r>
              <w:rPr>
                <w:rFonts w:hint="eastAsia" w:ascii="华文细黑" w:hAnsi="华文细黑" w:eastAsia="华文细黑" w:cs="华文细黑"/>
                <w:sz w:val="24"/>
                <w:szCs w:val="28"/>
                <w:lang w:val="en-US" w:eastAsia="zh-CN"/>
              </w:rPr>
              <w:t>8</w:t>
            </w:r>
            <w:r>
              <w:rPr>
                <w:rFonts w:hint="eastAsia" w:ascii="华文细黑" w:hAnsi="华文细黑" w:eastAsia="华文细黑" w:cs="华文细黑"/>
                <w:sz w:val="24"/>
                <w:szCs w:val="28"/>
              </w:rPr>
              <w:t>00元</w:t>
            </w:r>
          </w:p>
          <w:p>
            <w:pPr>
              <w:spacing w:line="240" w:lineRule="auto"/>
              <w:jc w:val="center"/>
              <w:rPr>
                <w:rFonts w:hint="eastAsia" w:ascii="华文细黑" w:hAnsi="华文细黑" w:eastAsia="华文细黑" w:cs="华文细黑"/>
                <w:sz w:val="32"/>
                <w:szCs w:val="32"/>
                <w:highlight w:val="yellow"/>
              </w:rPr>
            </w:pPr>
            <w:r>
              <w:rPr>
                <w:rFonts w:hint="eastAsia" w:ascii="华文细黑" w:hAnsi="华文细黑" w:eastAsia="华文细黑" w:cs="华文细黑"/>
                <w:sz w:val="24"/>
                <w:szCs w:val="28"/>
              </w:rPr>
              <w:t>2家及以上/展</w:t>
            </w:r>
            <w:r>
              <w:rPr>
                <w:rFonts w:hint="eastAsia" w:ascii="华文细黑" w:hAnsi="华文细黑" w:eastAsia="华文细黑" w:cs="华文细黑"/>
                <w:sz w:val="24"/>
                <w:szCs w:val="28"/>
                <w:lang w:val="en-US" w:eastAsia="zh-CN"/>
              </w:rPr>
              <w:t>位</w:t>
            </w:r>
            <w:r>
              <w:rPr>
                <w:rFonts w:hint="eastAsia" w:ascii="华文细黑" w:hAnsi="华文细黑" w:eastAsia="华文细黑" w:cs="华文细黑"/>
                <w:sz w:val="24"/>
                <w:szCs w:val="28"/>
              </w:rPr>
              <w:t>：</w:t>
            </w:r>
            <w:r>
              <w:rPr>
                <w:rFonts w:hint="eastAsia" w:ascii="华文细黑" w:hAnsi="华文细黑" w:eastAsia="华文细黑" w:cs="华文细黑"/>
                <w:sz w:val="24"/>
                <w:szCs w:val="28"/>
                <w:lang w:val="en-US" w:eastAsia="zh-CN"/>
              </w:rPr>
              <w:t>9</w:t>
            </w:r>
            <w:r>
              <w:rPr>
                <w:rFonts w:hint="eastAsia" w:ascii="华文细黑" w:hAnsi="华文细黑" w:eastAsia="华文细黑" w:cs="华文细黑"/>
                <w:sz w:val="24"/>
                <w:szCs w:val="28"/>
              </w:rPr>
              <w:t>00元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cantSplit/>
          <w:trHeight w:val="396" w:hRule="atLeast"/>
          <w:jc w:val="center"/>
        </w:trPr>
        <w:tc>
          <w:tcPr>
            <w:tcW w:w="2536" w:type="dxa"/>
            <w:vMerge w:val="continue"/>
            <w:tcBorders>
              <w:left w:val="single" w:color="auto" w:sz="4" w:space="0"/>
              <w:bottom w:val="single" w:color="auto" w:sz="4" w:space="0"/>
              <w:right w:val="single" w:color="auto" w:sz="4" w:space="0"/>
            </w:tcBorders>
            <w:noWrap w:val="0"/>
            <w:vAlign w:val="center"/>
          </w:tcPr>
          <w:p>
            <w:pPr>
              <w:pStyle w:val="15"/>
              <w:widowControl w:val="0"/>
              <w:spacing w:before="0" w:beforeAutospacing="0" w:after="0" w:afterAutospacing="0"/>
              <w:jc w:val="center"/>
              <w:rPr>
                <w:rFonts w:hint="eastAsia" w:ascii="华文细黑" w:hAnsi="华文细黑" w:eastAsia="华文细黑" w:cs="华文细黑"/>
                <w:kern w:val="2"/>
              </w:rPr>
            </w:pPr>
          </w:p>
        </w:tc>
        <w:tc>
          <w:tcPr>
            <w:tcW w:w="207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24:00-</w:t>
            </w:r>
            <w:r>
              <w:rPr>
                <w:rFonts w:hint="eastAsia" w:ascii="华文细黑" w:hAnsi="华文细黑" w:eastAsia="华文细黑" w:cs="华文细黑"/>
                <w:sz w:val="24"/>
                <w:szCs w:val="24"/>
                <w:lang w:val="en-US" w:eastAsia="zh-CN"/>
              </w:rPr>
              <w:t>次日</w:t>
            </w:r>
            <w:r>
              <w:rPr>
                <w:rFonts w:hint="eastAsia" w:ascii="华文细黑" w:hAnsi="华文细黑" w:eastAsia="华文细黑" w:cs="华文细黑"/>
                <w:sz w:val="24"/>
                <w:szCs w:val="24"/>
              </w:rPr>
              <w:t>08:00</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小时</w:t>
            </w:r>
          </w:p>
        </w:tc>
        <w:tc>
          <w:tcPr>
            <w:tcW w:w="363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华文细黑" w:hAnsi="华文细黑" w:eastAsia="华文细黑" w:cs="华文细黑"/>
                <w:sz w:val="24"/>
                <w:szCs w:val="28"/>
              </w:rPr>
            </w:pPr>
            <w:r>
              <w:rPr>
                <w:rFonts w:hint="eastAsia" w:ascii="华文细黑" w:hAnsi="华文细黑" w:eastAsia="华文细黑" w:cs="华文细黑"/>
                <w:sz w:val="24"/>
                <w:szCs w:val="28"/>
              </w:rPr>
              <w:t>1家/展</w:t>
            </w:r>
            <w:r>
              <w:rPr>
                <w:rFonts w:hint="eastAsia" w:ascii="华文细黑" w:hAnsi="华文细黑" w:eastAsia="华文细黑" w:cs="华文细黑"/>
                <w:sz w:val="24"/>
                <w:szCs w:val="28"/>
                <w:lang w:val="en-US" w:eastAsia="zh-CN"/>
              </w:rPr>
              <w:t>位</w:t>
            </w:r>
            <w:r>
              <w:rPr>
                <w:rFonts w:hint="eastAsia" w:ascii="华文细黑" w:hAnsi="华文细黑" w:eastAsia="华文细黑" w:cs="华文细黑"/>
                <w:sz w:val="24"/>
                <w:szCs w:val="28"/>
              </w:rPr>
              <w:t>：</w:t>
            </w:r>
            <w:r>
              <w:rPr>
                <w:rFonts w:hint="eastAsia" w:ascii="华文细黑" w:hAnsi="华文细黑" w:eastAsia="华文细黑" w:cs="华文细黑"/>
                <w:sz w:val="24"/>
                <w:szCs w:val="28"/>
                <w:lang w:val="en-US" w:eastAsia="zh-CN"/>
              </w:rPr>
              <w:t>24</w:t>
            </w:r>
            <w:r>
              <w:rPr>
                <w:rFonts w:hint="eastAsia" w:ascii="华文细黑" w:hAnsi="华文细黑" w:eastAsia="华文细黑" w:cs="华文细黑"/>
                <w:sz w:val="24"/>
                <w:szCs w:val="28"/>
              </w:rPr>
              <w:t>00元</w:t>
            </w:r>
          </w:p>
          <w:p>
            <w:pPr>
              <w:spacing w:line="240" w:lineRule="auto"/>
              <w:jc w:val="center"/>
              <w:rPr>
                <w:rFonts w:hint="eastAsia" w:ascii="华文细黑" w:hAnsi="华文细黑" w:eastAsia="华文细黑" w:cs="华文细黑"/>
                <w:sz w:val="32"/>
                <w:szCs w:val="32"/>
                <w:highlight w:val="yellow"/>
              </w:rPr>
            </w:pPr>
            <w:r>
              <w:rPr>
                <w:rFonts w:hint="eastAsia" w:ascii="华文细黑" w:hAnsi="华文细黑" w:eastAsia="华文细黑" w:cs="华文细黑"/>
                <w:sz w:val="24"/>
                <w:szCs w:val="28"/>
              </w:rPr>
              <w:t>2家及以上/展</w:t>
            </w:r>
            <w:r>
              <w:rPr>
                <w:rFonts w:hint="eastAsia" w:ascii="华文细黑" w:hAnsi="华文细黑" w:eastAsia="华文细黑" w:cs="华文细黑"/>
                <w:sz w:val="24"/>
                <w:szCs w:val="28"/>
                <w:lang w:val="en-US" w:eastAsia="zh-CN"/>
              </w:rPr>
              <w:t>位</w:t>
            </w:r>
            <w:r>
              <w:rPr>
                <w:rFonts w:hint="eastAsia" w:ascii="华文细黑" w:hAnsi="华文细黑" w:eastAsia="华文细黑" w:cs="华文细黑"/>
                <w:sz w:val="24"/>
                <w:szCs w:val="28"/>
              </w:rPr>
              <w:t>：</w:t>
            </w:r>
            <w:r>
              <w:rPr>
                <w:rFonts w:hint="eastAsia" w:ascii="华文细黑" w:hAnsi="华文细黑" w:eastAsia="华文细黑" w:cs="华文细黑"/>
                <w:sz w:val="24"/>
                <w:szCs w:val="28"/>
                <w:lang w:val="en-US" w:eastAsia="zh-CN"/>
              </w:rPr>
              <w:t>12</w:t>
            </w:r>
            <w:r>
              <w:rPr>
                <w:rFonts w:hint="eastAsia" w:ascii="华文细黑" w:hAnsi="华文细黑" w:eastAsia="华文细黑" w:cs="华文细黑"/>
                <w:sz w:val="24"/>
                <w:szCs w:val="28"/>
              </w:rPr>
              <w:t>00元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513" w:hRule="atLeast"/>
          <w:jc w:val="center"/>
        </w:trPr>
        <w:tc>
          <w:tcPr>
            <w:tcW w:w="9240" w:type="dxa"/>
            <w:gridSpan w:val="4"/>
            <w:tcBorders>
              <w:top w:val="single" w:color="auto" w:sz="4" w:space="0"/>
              <w:left w:val="single" w:color="auto" w:sz="4" w:space="0"/>
              <w:bottom w:val="single" w:color="auto" w:sz="4" w:space="0"/>
              <w:right w:val="single" w:color="auto" w:sz="4" w:space="0"/>
            </w:tcBorders>
            <w:noWrap w:val="0"/>
            <w:vAlign w:val="top"/>
          </w:tcPr>
          <w:p>
            <w:pPr>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注意：</w:t>
            </w:r>
            <w:r>
              <w:rPr>
                <w:rFonts w:hint="eastAsia" w:ascii="华文细黑" w:hAnsi="华文细黑" w:eastAsia="华文细黑" w:cs="华文细黑"/>
                <w:sz w:val="24"/>
                <w:szCs w:val="24"/>
                <w:lang w:val="en-US" w:eastAsia="zh-CN"/>
              </w:rPr>
              <w:t>11</w:t>
            </w:r>
            <w:r>
              <w:rPr>
                <w:rFonts w:hint="eastAsia" w:ascii="华文细黑" w:hAnsi="华文细黑" w:eastAsia="华文细黑" w:cs="华文细黑"/>
                <w:sz w:val="24"/>
                <w:szCs w:val="24"/>
              </w:rPr>
              <w:t>日18:00将闭馆实施安全检查，不予以办理加班。</w:t>
            </w:r>
          </w:p>
          <w:p>
            <w:pPr>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备注： </w:t>
            </w:r>
          </w:p>
          <w:p>
            <w:pPr>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1.布展期约定时间外施工搭建为加班，清场后须凭加班条再次进场施工。布展期间需申</w:t>
            </w:r>
          </w:p>
          <w:p>
            <w:pPr>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请24:00前加班，请于当日16:00前按标准办理加班手续；申请24:00后请于当日</w:t>
            </w:r>
          </w:p>
          <w:p>
            <w:pPr>
              <w:spacing w:line="240" w:lineRule="auto"/>
              <w:jc w:val="left"/>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rPr>
              <w:t xml:space="preserve">  22:00前按标准办理加班手续，缴纳加班费；</w:t>
            </w:r>
            <w:r>
              <w:rPr>
                <w:rFonts w:hint="eastAsia" w:ascii="华文细黑" w:hAnsi="华文细黑" w:eastAsia="华文细黑" w:cs="华文细黑"/>
                <w:sz w:val="24"/>
                <w:szCs w:val="24"/>
                <w:lang w:val="en-US" w:eastAsia="zh-CN"/>
              </w:rPr>
              <w:t>逾期加收30%；</w:t>
            </w:r>
          </w:p>
          <w:p>
            <w:pPr>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2</w:t>
            </w:r>
            <w:r>
              <w:rPr>
                <w:rFonts w:hint="eastAsia" w:ascii="华文细黑" w:hAnsi="华文细黑" w:eastAsia="华文细黑" w:cs="华文细黑"/>
                <w:sz w:val="24"/>
                <w:szCs w:val="24"/>
              </w:rPr>
              <w:t>.加班不足1小时按1小时计算，以此类推；</w:t>
            </w:r>
          </w:p>
          <w:p>
            <w:pPr>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3</w:t>
            </w:r>
            <w:r>
              <w:rPr>
                <w:rFonts w:hint="eastAsia" w:ascii="华文细黑" w:hAnsi="华文细黑" w:eastAsia="华文细黑" w:cs="华文细黑"/>
                <w:sz w:val="24"/>
                <w:szCs w:val="24"/>
              </w:rPr>
              <w:t>.特装展位提前进场须征得主办方及主场服务商书面同意，并在场馆与主办方交接场馆</w:t>
            </w:r>
          </w:p>
          <w:p>
            <w:pPr>
              <w:spacing w:line="240" w:lineRule="auto"/>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完毕后方能进场；</w:t>
            </w:r>
          </w:p>
        </w:tc>
      </w:tr>
    </w:tbl>
    <w:p>
      <w:pPr>
        <w:adjustRightInd w:val="0"/>
        <w:snapToGrid w:val="0"/>
        <w:spacing w:line="400" w:lineRule="exact"/>
        <w:jc w:val="left"/>
        <w:rPr>
          <w:rFonts w:hint="eastAsia" w:ascii="华文细黑" w:hAnsi="华文细黑" w:eastAsia="华文细黑" w:cs="华文细黑"/>
          <w:b/>
          <w:bCs/>
          <w:color w:val="0000FF"/>
          <w:szCs w:val="21"/>
        </w:rPr>
      </w:pPr>
      <w:r>
        <w:rPr>
          <w:rFonts w:hint="eastAsia" w:ascii="华文细黑" w:hAnsi="华文细黑" w:eastAsia="华文细黑" w:cs="华文细黑"/>
          <w:b/>
          <w:bCs/>
          <w:color w:val="0000FF"/>
          <w:szCs w:val="21"/>
          <w:lang w:eastAsia="zh-CN"/>
        </w:rPr>
        <w:t>申请邮箱</w:t>
      </w:r>
      <w:r>
        <w:rPr>
          <w:rFonts w:hint="eastAsia" w:ascii="华文细黑" w:hAnsi="华文细黑" w:eastAsia="华文细黑" w:cs="华文细黑"/>
          <w:b/>
          <w:bCs/>
          <w:color w:val="0000FF"/>
          <w:szCs w:val="21"/>
        </w:rPr>
        <w:t>：</w:t>
      </w:r>
      <w:r>
        <w:rPr>
          <w:rFonts w:hint="eastAsia" w:ascii="华文细黑" w:hAnsi="华文细黑" w:eastAsia="华文细黑" w:cs="华文细黑"/>
          <w:b/>
          <w:bCs/>
          <w:color w:val="0000FF"/>
          <w:szCs w:val="21"/>
          <w:highlight w:val="none"/>
          <w:lang w:val="en-US" w:eastAsia="zh-CN"/>
        </w:rPr>
        <w:t>fjfloor@163.com</w:t>
      </w:r>
      <w:r>
        <w:rPr>
          <w:rFonts w:hint="eastAsia" w:ascii="华文细黑" w:hAnsi="华文细黑" w:eastAsia="华文细黑" w:cs="华文细黑"/>
          <w:b/>
          <w:bCs/>
          <w:color w:val="0000FF"/>
          <w:szCs w:val="21"/>
          <w:highlight w:val="none"/>
        </w:rPr>
        <w:t xml:space="preserve"> </w:t>
      </w:r>
      <w:r>
        <w:rPr>
          <w:rFonts w:hint="eastAsia" w:ascii="华文细黑" w:hAnsi="华文细黑" w:eastAsia="华文细黑" w:cs="华文细黑"/>
          <w:b/>
          <w:bCs/>
          <w:color w:val="0000FF"/>
          <w:szCs w:val="21"/>
        </w:rPr>
        <w:t>提交订单，订单在全部付款收到后生效。</w:t>
      </w:r>
    </w:p>
    <w:p>
      <w:pPr>
        <w:adjustRightInd w:val="0"/>
        <w:snapToGrid w:val="0"/>
        <w:spacing w:line="400" w:lineRule="exact"/>
        <w:jc w:val="left"/>
        <w:rPr>
          <w:rFonts w:hint="default" w:ascii="华文细黑" w:hAnsi="华文细黑" w:eastAsia="华文细黑" w:cs="华文细黑"/>
          <w:b/>
          <w:bCs/>
          <w:color w:val="0000FF"/>
          <w:szCs w:val="21"/>
          <w:lang w:val="en-US" w:eastAsia="zh-CN"/>
        </w:rPr>
      </w:pPr>
      <w:r>
        <w:rPr>
          <w:rFonts w:hint="eastAsia" w:ascii="华文细黑" w:hAnsi="华文细黑" w:eastAsia="华文细黑" w:cs="华文细黑"/>
          <w:b/>
          <w:bCs/>
          <w:color w:val="0000FF"/>
          <w:szCs w:val="21"/>
          <w:lang w:eastAsia="zh-CN"/>
        </w:rPr>
        <w:t>组委会</w:t>
      </w:r>
      <w:r>
        <w:rPr>
          <w:rFonts w:hint="eastAsia" w:ascii="华文细黑" w:hAnsi="华文细黑" w:eastAsia="华文细黑" w:cs="华文细黑"/>
          <w:b/>
          <w:bCs/>
          <w:color w:val="0000FF"/>
          <w:szCs w:val="21"/>
        </w:rPr>
        <w:t>联系人：</w:t>
      </w:r>
      <w:r>
        <w:rPr>
          <w:rFonts w:hint="eastAsia" w:ascii="华文细黑" w:hAnsi="华文细黑" w:eastAsia="华文细黑" w:cs="华文细黑"/>
          <w:b/>
          <w:bCs/>
          <w:color w:val="0000FF"/>
          <w:szCs w:val="21"/>
          <w:lang w:eastAsia="zh-CN"/>
        </w:rPr>
        <w:t>颜秘书长</w:t>
      </w:r>
      <w:r>
        <w:rPr>
          <w:rFonts w:hint="eastAsia" w:ascii="华文细黑" w:hAnsi="华文细黑" w:eastAsia="华文细黑" w:cs="华文细黑"/>
          <w:b/>
          <w:bCs/>
          <w:color w:val="0000FF"/>
          <w:szCs w:val="21"/>
          <w:lang w:val="en-US" w:eastAsia="zh-CN"/>
        </w:rPr>
        <w:t xml:space="preserve"> 18259281820/吕主任 13799338358/</w:t>
      </w:r>
      <w:r>
        <w:rPr>
          <w:rFonts w:hint="eastAsia" w:ascii="华文细黑" w:hAnsi="华文细黑" w:eastAsia="华文细黑" w:cs="华文细黑"/>
          <w:b/>
          <w:bCs/>
          <w:color w:val="0000FF"/>
          <w:szCs w:val="21"/>
          <w:lang w:eastAsia="zh-CN"/>
        </w:rPr>
        <w:t>徐建东</w:t>
      </w:r>
      <w:r>
        <w:rPr>
          <w:rFonts w:hint="eastAsia" w:ascii="华文细黑" w:hAnsi="华文细黑" w:eastAsia="华文细黑" w:cs="华文细黑"/>
          <w:b/>
          <w:bCs/>
          <w:color w:val="0000FF"/>
          <w:szCs w:val="21"/>
          <w:lang w:val="en-US" w:eastAsia="zh-CN"/>
        </w:rPr>
        <w:t xml:space="preserve"> 13950105593（微信同号）</w:t>
      </w:r>
    </w:p>
    <w:p>
      <w:pPr>
        <w:spacing w:line="240" w:lineRule="auto"/>
        <w:rPr>
          <w:rFonts w:hint="eastAsia" w:ascii="华文细黑" w:hAnsi="华文细黑" w:eastAsia="华文细黑" w:cs="华文细黑"/>
          <w:b/>
          <w:bCs/>
          <w:szCs w:val="21"/>
        </w:rPr>
      </w:pPr>
    </w:p>
    <w:p>
      <w:pPr>
        <w:spacing w:line="240" w:lineRule="auto"/>
        <w:rPr>
          <w:rFonts w:hint="eastAsia" w:ascii="华文细黑" w:hAnsi="华文细黑" w:eastAsia="华文细黑" w:cs="华文细黑"/>
          <w:b/>
          <w:bCs/>
          <w:szCs w:val="21"/>
        </w:rPr>
      </w:pPr>
    </w:p>
    <w:p>
      <w:pPr>
        <w:numPr>
          <w:ilvl w:val="0"/>
          <w:numId w:val="0"/>
        </w:numPr>
        <w:spacing w:line="240" w:lineRule="auto"/>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1.4</w:t>
      </w:r>
      <w:r>
        <w:rPr>
          <w:rFonts w:hint="eastAsia" w:ascii="华文细黑" w:hAnsi="华文细黑" w:eastAsia="华文细黑" w:cs="华文细黑"/>
          <w:sz w:val="24"/>
          <w:szCs w:val="24"/>
        </w:rPr>
        <w:t>展览供电</w:t>
      </w:r>
      <w:r>
        <w:rPr>
          <w:rFonts w:hint="eastAsia" w:ascii="华文细黑" w:hAnsi="华文细黑" w:eastAsia="华文细黑" w:cs="华文细黑"/>
          <w:sz w:val="24"/>
          <w:szCs w:val="24"/>
          <w:lang w:val="en-US" w:eastAsia="zh-CN"/>
        </w:rPr>
        <w:t>及有线宽带</w:t>
      </w:r>
      <w:r>
        <w:rPr>
          <w:rFonts w:hint="eastAsia" w:ascii="华文细黑" w:hAnsi="华文细黑" w:eastAsia="华文细黑" w:cs="华文细黑"/>
          <w:sz w:val="24"/>
          <w:szCs w:val="24"/>
        </w:rPr>
        <w:t>租赁表格</w:t>
      </w:r>
    </w:p>
    <w:tbl>
      <w:tblPr>
        <w:tblStyle w:val="17"/>
        <w:tblpPr w:leftFromText="180" w:rightFromText="180" w:vertAnchor="text" w:horzAnchor="page" w:tblpXSpec="center" w:tblpY="176"/>
        <w:tblOverlap w:val="never"/>
        <w:tblW w:w="9908"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49"/>
        <w:gridCol w:w="2063"/>
        <w:gridCol w:w="2883"/>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7" w:hRule="atLeast"/>
          <w:jc w:val="center"/>
        </w:trPr>
        <w:tc>
          <w:tcPr>
            <w:tcW w:w="1849" w:type="dxa"/>
            <w:vMerge w:val="restart"/>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项目</w:t>
            </w:r>
          </w:p>
        </w:tc>
        <w:tc>
          <w:tcPr>
            <w:tcW w:w="2063" w:type="dxa"/>
            <w:vMerge w:val="restart"/>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名称</w:t>
            </w:r>
          </w:p>
        </w:tc>
        <w:tc>
          <w:tcPr>
            <w:tcW w:w="5996" w:type="dxa"/>
            <w:gridSpan w:val="2"/>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价格（RMB）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7" w:hRule="exact"/>
          <w:jc w:val="center"/>
        </w:trPr>
        <w:tc>
          <w:tcPr>
            <w:tcW w:w="1849" w:type="dxa"/>
            <w:vMerge w:val="continue"/>
            <w:shd w:val="clear" w:color="auto" w:fill="D9D9D9"/>
            <w:noWrap w:val="0"/>
            <w:vAlign w:val="center"/>
          </w:tcPr>
          <w:p>
            <w:pPr>
              <w:spacing w:line="240" w:lineRule="auto"/>
              <w:jc w:val="center"/>
              <w:rPr>
                <w:rFonts w:hint="eastAsia" w:ascii="华文细黑" w:hAnsi="华文细黑" w:eastAsia="华文细黑" w:cs="华文细黑"/>
                <w:sz w:val="24"/>
                <w:szCs w:val="24"/>
              </w:rPr>
            </w:pPr>
          </w:p>
        </w:tc>
        <w:tc>
          <w:tcPr>
            <w:tcW w:w="2063" w:type="dxa"/>
            <w:vMerge w:val="continue"/>
            <w:shd w:val="clear" w:color="auto" w:fill="D9D9D9"/>
            <w:noWrap w:val="0"/>
            <w:vAlign w:val="center"/>
          </w:tcPr>
          <w:p>
            <w:pPr>
              <w:spacing w:line="240" w:lineRule="auto"/>
              <w:jc w:val="center"/>
              <w:rPr>
                <w:rFonts w:hint="eastAsia" w:ascii="华文细黑" w:hAnsi="华文细黑" w:eastAsia="华文细黑" w:cs="华文细黑"/>
                <w:sz w:val="24"/>
                <w:szCs w:val="24"/>
              </w:rPr>
            </w:pPr>
          </w:p>
        </w:tc>
        <w:tc>
          <w:tcPr>
            <w:tcW w:w="2883"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10</w:t>
            </w:r>
            <w:r>
              <w:rPr>
                <w:rFonts w:hint="eastAsia" w:ascii="华文细黑" w:hAnsi="华文细黑" w:eastAsia="华文细黑" w:cs="华文细黑"/>
                <w:sz w:val="24"/>
                <w:szCs w:val="24"/>
              </w:rPr>
              <w:t>月</w:t>
            </w:r>
            <w:r>
              <w:rPr>
                <w:rFonts w:hint="eastAsia" w:ascii="华文细黑" w:hAnsi="华文细黑" w:eastAsia="华文细黑" w:cs="华文细黑"/>
                <w:sz w:val="24"/>
                <w:szCs w:val="24"/>
                <w:lang w:val="en-US" w:eastAsia="zh-CN"/>
              </w:rPr>
              <w:t>15</w:t>
            </w:r>
            <w:r>
              <w:rPr>
                <w:rFonts w:hint="eastAsia" w:ascii="华文细黑" w:hAnsi="华文细黑" w:eastAsia="华文细黑" w:cs="华文细黑"/>
                <w:sz w:val="24"/>
                <w:szCs w:val="24"/>
              </w:rPr>
              <w:t>日及之前</w:t>
            </w:r>
          </w:p>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（优惠价）</w:t>
            </w:r>
          </w:p>
        </w:tc>
        <w:tc>
          <w:tcPr>
            <w:tcW w:w="3113" w:type="dxa"/>
            <w:shd w:val="clear" w:color="auto" w:fill="D9D9D9"/>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10</w:t>
            </w:r>
            <w:r>
              <w:rPr>
                <w:rFonts w:hint="eastAsia" w:ascii="华文细黑" w:hAnsi="华文细黑" w:eastAsia="华文细黑" w:cs="华文细黑"/>
                <w:sz w:val="24"/>
                <w:szCs w:val="24"/>
              </w:rPr>
              <w:t>月</w:t>
            </w:r>
            <w:r>
              <w:rPr>
                <w:rFonts w:hint="eastAsia" w:ascii="华文细黑" w:hAnsi="华文细黑" w:eastAsia="华文细黑" w:cs="华文细黑"/>
                <w:sz w:val="24"/>
                <w:szCs w:val="24"/>
                <w:lang w:val="en-US" w:eastAsia="zh-CN"/>
              </w:rPr>
              <w:t>15</w:t>
            </w:r>
            <w:r>
              <w:rPr>
                <w:rFonts w:hint="eastAsia" w:ascii="华文细黑" w:hAnsi="华文细黑" w:eastAsia="华文细黑" w:cs="华文细黑"/>
                <w:sz w:val="24"/>
                <w:szCs w:val="24"/>
              </w:rPr>
              <w:t>日后</w:t>
            </w:r>
          </w:p>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（原价）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10" w:hRule="exact"/>
          <w:jc w:val="center"/>
        </w:trPr>
        <w:tc>
          <w:tcPr>
            <w:tcW w:w="1849"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布展用电（11.5-6）</w:t>
            </w:r>
          </w:p>
        </w:tc>
        <w:tc>
          <w:tcPr>
            <w:tcW w:w="206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220V/</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A</w:t>
            </w:r>
          </w:p>
        </w:tc>
        <w:tc>
          <w:tcPr>
            <w:tcW w:w="2883"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220元/个/布展期</w:t>
            </w:r>
          </w:p>
        </w:tc>
        <w:tc>
          <w:tcPr>
            <w:tcW w:w="3113"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250元/个/布展期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06" w:hRule="exact"/>
          <w:jc w:val="center"/>
        </w:trPr>
        <w:tc>
          <w:tcPr>
            <w:tcW w:w="1849" w:type="dxa"/>
            <w:vMerge w:val="restart"/>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展期电源</w:t>
            </w:r>
          </w:p>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w:t>
            </w:r>
            <w:r>
              <w:rPr>
                <w:rFonts w:hint="eastAsia" w:ascii="华文细黑" w:hAnsi="华文细黑" w:eastAsia="华文细黑" w:cs="华文细黑"/>
                <w:sz w:val="24"/>
                <w:szCs w:val="24"/>
                <w:lang w:val="en-US" w:eastAsia="zh-CN"/>
              </w:rPr>
              <w:t>11.7-9</w:t>
            </w:r>
            <w:r>
              <w:rPr>
                <w:rFonts w:hint="eastAsia" w:ascii="华文细黑" w:hAnsi="华文细黑" w:eastAsia="华文细黑" w:cs="华文细黑"/>
                <w:sz w:val="24"/>
                <w:szCs w:val="24"/>
              </w:rPr>
              <w:t>）</w:t>
            </w:r>
          </w:p>
        </w:tc>
        <w:tc>
          <w:tcPr>
            <w:tcW w:w="2063" w:type="dxa"/>
            <w:noWrap w:val="0"/>
            <w:vAlign w:val="center"/>
          </w:tcPr>
          <w:p>
            <w:pPr>
              <w:spacing w:line="36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220V/</w:t>
            </w:r>
            <w:r>
              <w:rPr>
                <w:rFonts w:hint="eastAsia" w:ascii="华文细黑" w:hAnsi="华文细黑" w:eastAsia="华文细黑" w:cs="华文细黑"/>
                <w:sz w:val="24"/>
                <w:szCs w:val="24"/>
                <w:lang w:val="en-US" w:eastAsia="zh-CN"/>
              </w:rPr>
              <w:t>5</w:t>
            </w:r>
            <w:r>
              <w:rPr>
                <w:rFonts w:hint="eastAsia" w:ascii="华文细黑" w:hAnsi="华文细黑" w:eastAsia="华文细黑" w:cs="华文细黑"/>
                <w:sz w:val="24"/>
                <w:szCs w:val="24"/>
              </w:rPr>
              <w:t>A</w:t>
            </w:r>
          </w:p>
        </w:tc>
        <w:tc>
          <w:tcPr>
            <w:tcW w:w="28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26</w:t>
            </w:r>
            <w:r>
              <w:rPr>
                <w:rFonts w:hint="eastAsia" w:ascii="华文细黑" w:hAnsi="华文细黑" w:eastAsia="华文细黑" w:cs="华文细黑"/>
                <w:sz w:val="24"/>
                <w:szCs w:val="24"/>
              </w:rPr>
              <w:t>0元/个/展期</w:t>
            </w:r>
          </w:p>
        </w:tc>
        <w:tc>
          <w:tcPr>
            <w:tcW w:w="311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300</w:t>
            </w:r>
            <w:r>
              <w:rPr>
                <w:rFonts w:hint="eastAsia" w:ascii="华文细黑" w:hAnsi="华文细黑" w:eastAsia="华文细黑" w:cs="华文细黑"/>
                <w:sz w:val="24"/>
                <w:szCs w:val="24"/>
              </w:rPr>
              <w:t>元/个/展期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40" w:hRule="exact"/>
          <w:jc w:val="center"/>
        </w:trPr>
        <w:tc>
          <w:tcPr>
            <w:tcW w:w="1849" w:type="dxa"/>
            <w:vMerge w:val="continue"/>
            <w:noWrap w:val="0"/>
            <w:vAlign w:val="center"/>
          </w:tcPr>
          <w:p>
            <w:pPr>
              <w:spacing w:line="240" w:lineRule="auto"/>
              <w:jc w:val="center"/>
              <w:rPr>
                <w:rFonts w:hint="eastAsia" w:ascii="华文细黑" w:hAnsi="华文细黑" w:eastAsia="华文细黑" w:cs="华文细黑"/>
                <w:sz w:val="24"/>
                <w:szCs w:val="24"/>
              </w:rPr>
            </w:pPr>
          </w:p>
        </w:tc>
        <w:tc>
          <w:tcPr>
            <w:tcW w:w="2063" w:type="dxa"/>
            <w:noWrap w:val="0"/>
            <w:vAlign w:val="center"/>
          </w:tcPr>
          <w:p>
            <w:pPr>
              <w:spacing w:line="36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220V/</w:t>
            </w:r>
            <w:r>
              <w:rPr>
                <w:rFonts w:hint="eastAsia" w:ascii="华文细黑" w:hAnsi="华文细黑" w:eastAsia="华文细黑" w:cs="华文细黑"/>
                <w:sz w:val="24"/>
                <w:szCs w:val="24"/>
                <w:lang w:val="en-US" w:eastAsia="zh-CN"/>
              </w:rPr>
              <w:t>16</w:t>
            </w:r>
            <w:r>
              <w:rPr>
                <w:rFonts w:hint="eastAsia" w:ascii="华文细黑" w:hAnsi="华文细黑" w:eastAsia="华文细黑" w:cs="华文细黑"/>
                <w:sz w:val="24"/>
                <w:szCs w:val="24"/>
              </w:rPr>
              <w:t>A</w:t>
            </w:r>
          </w:p>
        </w:tc>
        <w:tc>
          <w:tcPr>
            <w:tcW w:w="2883"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45</w:t>
            </w:r>
            <w:r>
              <w:rPr>
                <w:rFonts w:hint="eastAsia" w:ascii="华文细黑" w:hAnsi="华文细黑" w:eastAsia="华文细黑" w:cs="华文细黑"/>
                <w:sz w:val="24"/>
                <w:szCs w:val="24"/>
              </w:rPr>
              <w:t>0元/个/展期</w:t>
            </w:r>
          </w:p>
        </w:tc>
        <w:tc>
          <w:tcPr>
            <w:tcW w:w="3113"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50</w:t>
            </w:r>
            <w:r>
              <w:rPr>
                <w:rFonts w:hint="eastAsia" w:ascii="华文细黑" w:hAnsi="华文细黑" w:eastAsia="华文细黑" w:cs="华文细黑"/>
                <w:sz w:val="24"/>
                <w:szCs w:val="24"/>
              </w:rPr>
              <w:t>0元/个/展期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0" w:hRule="exact"/>
          <w:jc w:val="center"/>
        </w:trPr>
        <w:tc>
          <w:tcPr>
            <w:tcW w:w="1849" w:type="dxa"/>
            <w:vMerge w:val="continue"/>
            <w:noWrap w:val="0"/>
            <w:vAlign w:val="center"/>
          </w:tcPr>
          <w:p>
            <w:pPr>
              <w:spacing w:line="240" w:lineRule="auto"/>
              <w:jc w:val="center"/>
              <w:rPr>
                <w:rFonts w:hint="eastAsia" w:ascii="华文细黑" w:hAnsi="华文细黑" w:eastAsia="华文细黑" w:cs="华文细黑"/>
                <w:sz w:val="24"/>
                <w:szCs w:val="24"/>
              </w:rPr>
            </w:pPr>
          </w:p>
        </w:tc>
        <w:tc>
          <w:tcPr>
            <w:tcW w:w="2063" w:type="dxa"/>
            <w:noWrap w:val="0"/>
            <w:vAlign w:val="center"/>
          </w:tcPr>
          <w:p>
            <w:pPr>
              <w:spacing w:line="360" w:lineRule="auto"/>
              <w:jc w:val="center"/>
              <w:rPr>
                <w:rFonts w:hint="eastAsia" w:ascii="华文细黑" w:hAnsi="华文细黑" w:eastAsia="华文细黑" w:cs="华文细黑"/>
                <w:sz w:val="24"/>
                <w:szCs w:val="24"/>
                <w:lang w:val="en-US"/>
              </w:rPr>
            </w:pPr>
            <w:r>
              <w:rPr>
                <w:rFonts w:hint="eastAsia" w:ascii="华文细黑" w:hAnsi="华文细黑" w:eastAsia="华文细黑" w:cs="华文细黑"/>
                <w:sz w:val="24"/>
                <w:szCs w:val="24"/>
              </w:rPr>
              <w:t>380V/1</w:t>
            </w:r>
            <w:r>
              <w:rPr>
                <w:rFonts w:hint="eastAsia" w:ascii="华文细黑" w:hAnsi="华文细黑" w:eastAsia="华文细黑" w:cs="华文细黑"/>
                <w:sz w:val="24"/>
                <w:szCs w:val="24"/>
                <w:lang w:val="en-US" w:eastAsia="zh-CN"/>
              </w:rPr>
              <w:t>0A</w:t>
            </w:r>
          </w:p>
        </w:tc>
        <w:tc>
          <w:tcPr>
            <w:tcW w:w="28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580</w:t>
            </w:r>
            <w:r>
              <w:rPr>
                <w:rFonts w:hint="eastAsia" w:ascii="华文细黑" w:hAnsi="华文细黑" w:eastAsia="华文细黑" w:cs="华文细黑"/>
                <w:sz w:val="24"/>
                <w:szCs w:val="24"/>
              </w:rPr>
              <w:t>元/个/展期</w:t>
            </w:r>
          </w:p>
        </w:tc>
        <w:tc>
          <w:tcPr>
            <w:tcW w:w="311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660</w:t>
            </w:r>
            <w:r>
              <w:rPr>
                <w:rFonts w:hint="eastAsia" w:ascii="华文细黑" w:hAnsi="华文细黑" w:eastAsia="华文细黑" w:cs="华文细黑"/>
                <w:sz w:val="24"/>
                <w:szCs w:val="24"/>
              </w:rPr>
              <w:t>元/个/展期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8" w:hRule="exact"/>
          <w:jc w:val="center"/>
        </w:trPr>
        <w:tc>
          <w:tcPr>
            <w:tcW w:w="1849" w:type="dxa"/>
            <w:vMerge w:val="continue"/>
            <w:noWrap w:val="0"/>
            <w:vAlign w:val="center"/>
          </w:tcPr>
          <w:p>
            <w:pPr>
              <w:spacing w:line="240" w:lineRule="auto"/>
              <w:jc w:val="center"/>
              <w:rPr>
                <w:rFonts w:hint="eastAsia" w:ascii="华文细黑" w:hAnsi="华文细黑" w:eastAsia="华文细黑" w:cs="华文细黑"/>
                <w:sz w:val="24"/>
                <w:szCs w:val="24"/>
              </w:rPr>
            </w:pPr>
          </w:p>
        </w:tc>
        <w:tc>
          <w:tcPr>
            <w:tcW w:w="2063" w:type="dxa"/>
            <w:noWrap w:val="0"/>
            <w:vAlign w:val="center"/>
          </w:tcPr>
          <w:p>
            <w:pPr>
              <w:spacing w:line="36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380V/</w:t>
            </w:r>
            <w:r>
              <w:rPr>
                <w:rFonts w:hint="eastAsia" w:ascii="华文细黑" w:hAnsi="华文细黑" w:eastAsia="华文细黑" w:cs="华文细黑"/>
                <w:sz w:val="24"/>
                <w:szCs w:val="24"/>
                <w:lang w:val="en-US" w:eastAsia="zh-CN"/>
              </w:rPr>
              <w:t>16</w:t>
            </w:r>
            <w:r>
              <w:rPr>
                <w:rFonts w:hint="eastAsia" w:ascii="华文细黑" w:hAnsi="华文细黑" w:eastAsia="华文细黑" w:cs="华文细黑"/>
                <w:sz w:val="24"/>
                <w:szCs w:val="24"/>
              </w:rPr>
              <w:t>A</w:t>
            </w:r>
          </w:p>
          <w:p>
            <w:pPr>
              <w:spacing w:line="360" w:lineRule="auto"/>
              <w:jc w:val="center"/>
              <w:rPr>
                <w:rFonts w:hint="eastAsia" w:ascii="华文细黑" w:hAnsi="华文细黑" w:eastAsia="华文细黑" w:cs="华文细黑"/>
                <w:sz w:val="24"/>
                <w:szCs w:val="24"/>
              </w:rPr>
            </w:pPr>
          </w:p>
        </w:tc>
        <w:tc>
          <w:tcPr>
            <w:tcW w:w="28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10</w:t>
            </w:r>
            <w:r>
              <w:rPr>
                <w:rFonts w:hint="eastAsia" w:ascii="华文细黑" w:hAnsi="华文细黑" w:eastAsia="华文细黑" w:cs="华文细黑"/>
                <w:sz w:val="24"/>
                <w:szCs w:val="24"/>
              </w:rPr>
              <w:t>00元/个/展期</w:t>
            </w:r>
          </w:p>
        </w:tc>
        <w:tc>
          <w:tcPr>
            <w:tcW w:w="311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1200</w:t>
            </w:r>
            <w:r>
              <w:rPr>
                <w:rFonts w:hint="eastAsia" w:ascii="华文细黑" w:hAnsi="华文细黑" w:eastAsia="华文细黑" w:cs="华文细黑"/>
                <w:sz w:val="24"/>
                <w:szCs w:val="24"/>
              </w:rPr>
              <w:t>元/个/展期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1" w:hRule="exact"/>
          <w:jc w:val="center"/>
        </w:trPr>
        <w:tc>
          <w:tcPr>
            <w:tcW w:w="1849" w:type="dxa"/>
            <w:vMerge w:val="continue"/>
            <w:noWrap w:val="0"/>
            <w:vAlign w:val="center"/>
          </w:tcPr>
          <w:p>
            <w:pPr>
              <w:spacing w:line="240" w:lineRule="auto"/>
              <w:jc w:val="center"/>
              <w:rPr>
                <w:rFonts w:hint="eastAsia" w:ascii="华文细黑" w:hAnsi="华文细黑" w:eastAsia="华文细黑" w:cs="华文细黑"/>
                <w:sz w:val="24"/>
                <w:szCs w:val="24"/>
              </w:rPr>
            </w:pPr>
          </w:p>
        </w:tc>
        <w:tc>
          <w:tcPr>
            <w:tcW w:w="2063" w:type="dxa"/>
            <w:noWrap w:val="0"/>
            <w:vAlign w:val="center"/>
          </w:tcPr>
          <w:p>
            <w:pPr>
              <w:spacing w:line="36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380V/</w:t>
            </w:r>
            <w:r>
              <w:rPr>
                <w:rFonts w:hint="eastAsia" w:ascii="华文细黑" w:hAnsi="华文细黑" w:eastAsia="华文细黑" w:cs="华文细黑"/>
                <w:sz w:val="24"/>
                <w:szCs w:val="24"/>
                <w:lang w:val="en-US" w:eastAsia="zh-CN"/>
              </w:rPr>
              <w:t>32</w:t>
            </w:r>
            <w:r>
              <w:rPr>
                <w:rFonts w:hint="eastAsia" w:ascii="华文细黑" w:hAnsi="华文细黑" w:eastAsia="华文细黑" w:cs="华文细黑"/>
                <w:sz w:val="24"/>
                <w:szCs w:val="24"/>
              </w:rPr>
              <w:t>A</w:t>
            </w:r>
          </w:p>
          <w:p>
            <w:pPr>
              <w:spacing w:line="360" w:lineRule="auto"/>
              <w:jc w:val="center"/>
              <w:rPr>
                <w:rFonts w:hint="eastAsia" w:ascii="华文细黑" w:hAnsi="华文细黑" w:eastAsia="华文细黑" w:cs="华文细黑"/>
                <w:sz w:val="24"/>
                <w:szCs w:val="24"/>
              </w:rPr>
            </w:pPr>
          </w:p>
        </w:tc>
        <w:tc>
          <w:tcPr>
            <w:tcW w:w="28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17</w:t>
            </w:r>
            <w:r>
              <w:rPr>
                <w:rFonts w:hint="eastAsia" w:ascii="华文细黑" w:hAnsi="华文细黑" w:eastAsia="华文细黑" w:cs="华文细黑"/>
                <w:sz w:val="24"/>
                <w:szCs w:val="24"/>
              </w:rPr>
              <w:t>00元/个/展期</w:t>
            </w:r>
          </w:p>
        </w:tc>
        <w:tc>
          <w:tcPr>
            <w:tcW w:w="311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2000</w:t>
            </w:r>
            <w:r>
              <w:rPr>
                <w:rFonts w:hint="eastAsia" w:ascii="华文细黑" w:hAnsi="华文细黑" w:eastAsia="华文细黑" w:cs="华文细黑"/>
                <w:sz w:val="24"/>
                <w:szCs w:val="24"/>
              </w:rPr>
              <w:t>元/个/展期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4" w:hRule="exact"/>
          <w:jc w:val="center"/>
        </w:trPr>
        <w:tc>
          <w:tcPr>
            <w:tcW w:w="1849" w:type="dxa"/>
            <w:vMerge w:val="continue"/>
            <w:noWrap w:val="0"/>
            <w:vAlign w:val="center"/>
          </w:tcPr>
          <w:p>
            <w:pPr>
              <w:spacing w:line="240" w:lineRule="auto"/>
              <w:jc w:val="center"/>
              <w:rPr>
                <w:rFonts w:hint="eastAsia" w:ascii="华文细黑" w:hAnsi="华文细黑" w:eastAsia="华文细黑" w:cs="华文细黑"/>
                <w:sz w:val="24"/>
                <w:szCs w:val="24"/>
              </w:rPr>
            </w:pPr>
          </w:p>
        </w:tc>
        <w:tc>
          <w:tcPr>
            <w:tcW w:w="2063" w:type="dxa"/>
            <w:noWrap w:val="0"/>
            <w:vAlign w:val="center"/>
          </w:tcPr>
          <w:p>
            <w:pPr>
              <w:spacing w:line="36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380V/</w:t>
            </w:r>
            <w:r>
              <w:rPr>
                <w:rFonts w:hint="eastAsia" w:ascii="华文细黑" w:hAnsi="华文细黑" w:eastAsia="华文细黑" w:cs="华文细黑"/>
                <w:sz w:val="24"/>
                <w:szCs w:val="24"/>
                <w:lang w:val="en-US" w:eastAsia="zh-CN"/>
              </w:rPr>
              <w:t>63</w:t>
            </w:r>
            <w:r>
              <w:rPr>
                <w:rFonts w:hint="eastAsia" w:ascii="华文细黑" w:hAnsi="华文细黑" w:eastAsia="华文细黑" w:cs="华文细黑"/>
                <w:sz w:val="24"/>
                <w:szCs w:val="24"/>
              </w:rPr>
              <w:t>A</w:t>
            </w:r>
          </w:p>
          <w:p>
            <w:pPr>
              <w:spacing w:line="360" w:lineRule="auto"/>
              <w:jc w:val="center"/>
              <w:rPr>
                <w:rFonts w:hint="eastAsia" w:ascii="华文细黑" w:hAnsi="华文细黑" w:eastAsia="华文细黑" w:cs="华文细黑"/>
                <w:sz w:val="24"/>
                <w:szCs w:val="24"/>
              </w:rPr>
            </w:pPr>
          </w:p>
        </w:tc>
        <w:tc>
          <w:tcPr>
            <w:tcW w:w="28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3000</w:t>
            </w:r>
            <w:r>
              <w:rPr>
                <w:rFonts w:hint="eastAsia" w:ascii="华文细黑" w:hAnsi="华文细黑" w:eastAsia="华文细黑" w:cs="华文细黑"/>
                <w:sz w:val="24"/>
                <w:szCs w:val="24"/>
              </w:rPr>
              <w:t>元/个/展期</w:t>
            </w:r>
          </w:p>
        </w:tc>
        <w:tc>
          <w:tcPr>
            <w:tcW w:w="311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3500</w:t>
            </w:r>
            <w:r>
              <w:rPr>
                <w:rFonts w:hint="eastAsia" w:ascii="华文细黑" w:hAnsi="华文细黑" w:eastAsia="华文细黑" w:cs="华文细黑"/>
                <w:sz w:val="24"/>
                <w:szCs w:val="24"/>
              </w:rPr>
              <w:t>元/个/展期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2" w:hRule="exact"/>
          <w:jc w:val="center"/>
        </w:trPr>
        <w:tc>
          <w:tcPr>
            <w:tcW w:w="1849" w:type="dxa"/>
            <w:vMerge w:val="continue"/>
            <w:noWrap w:val="0"/>
            <w:vAlign w:val="center"/>
          </w:tcPr>
          <w:p>
            <w:pPr>
              <w:spacing w:line="240" w:lineRule="auto"/>
              <w:jc w:val="center"/>
              <w:rPr>
                <w:rFonts w:hint="eastAsia" w:ascii="华文细黑" w:hAnsi="华文细黑" w:eastAsia="华文细黑" w:cs="华文细黑"/>
                <w:sz w:val="24"/>
                <w:szCs w:val="24"/>
              </w:rPr>
            </w:pPr>
          </w:p>
        </w:tc>
        <w:tc>
          <w:tcPr>
            <w:tcW w:w="2063" w:type="dxa"/>
            <w:noWrap w:val="0"/>
            <w:vAlign w:val="center"/>
          </w:tcPr>
          <w:p>
            <w:pPr>
              <w:spacing w:line="36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380V/</w:t>
            </w:r>
            <w:r>
              <w:rPr>
                <w:rFonts w:hint="eastAsia" w:ascii="华文细黑" w:hAnsi="华文细黑" w:eastAsia="华文细黑" w:cs="华文细黑"/>
                <w:sz w:val="24"/>
                <w:szCs w:val="24"/>
                <w:lang w:val="en-US" w:eastAsia="zh-CN"/>
              </w:rPr>
              <w:t>10</w:t>
            </w:r>
            <w:r>
              <w:rPr>
                <w:rFonts w:hint="eastAsia" w:ascii="华文细黑" w:hAnsi="华文细黑" w:eastAsia="华文细黑" w:cs="华文细黑"/>
                <w:sz w:val="24"/>
                <w:szCs w:val="24"/>
              </w:rPr>
              <w:t>0A</w:t>
            </w:r>
          </w:p>
          <w:p>
            <w:pPr>
              <w:spacing w:line="360" w:lineRule="auto"/>
              <w:jc w:val="center"/>
              <w:rPr>
                <w:rFonts w:hint="eastAsia" w:ascii="华文细黑" w:hAnsi="华文细黑" w:eastAsia="华文细黑" w:cs="华文细黑"/>
                <w:sz w:val="24"/>
                <w:szCs w:val="24"/>
              </w:rPr>
            </w:pPr>
          </w:p>
        </w:tc>
        <w:tc>
          <w:tcPr>
            <w:tcW w:w="2883"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4800元</w:t>
            </w:r>
            <w:r>
              <w:rPr>
                <w:rFonts w:hint="eastAsia" w:ascii="华文细黑" w:hAnsi="华文细黑" w:eastAsia="华文细黑" w:cs="华文细黑"/>
                <w:sz w:val="24"/>
                <w:szCs w:val="24"/>
              </w:rPr>
              <w:t>/个/展期</w:t>
            </w:r>
          </w:p>
        </w:tc>
        <w:tc>
          <w:tcPr>
            <w:tcW w:w="3113" w:type="dxa"/>
            <w:noWrap w:val="0"/>
            <w:vAlign w:val="center"/>
          </w:tcPr>
          <w:p>
            <w:pPr>
              <w:spacing w:line="240" w:lineRule="auto"/>
              <w:jc w:val="cente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5500</w:t>
            </w:r>
            <w:r>
              <w:rPr>
                <w:rFonts w:hint="eastAsia" w:ascii="华文细黑" w:hAnsi="华文细黑" w:eastAsia="华文细黑" w:cs="华文细黑"/>
                <w:sz w:val="24"/>
                <w:szCs w:val="24"/>
              </w:rPr>
              <w:t>元/个/展期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2" w:hRule="exact"/>
          <w:jc w:val="center"/>
        </w:trPr>
        <w:tc>
          <w:tcPr>
            <w:tcW w:w="1849" w:type="dxa"/>
            <w:shd w:val="clear" w:color="auto" w:fill="auto"/>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rPr>
              <w:t>有线宽带</w:t>
            </w:r>
          </w:p>
        </w:tc>
        <w:tc>
          <w:tcPr>
            <w:tcW w:w="2063" w:type="dxa"/>
            <w:shd w:val="clear" w:color="auto" w:fill="FFFFFF"/>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10</w:t>
            </w:r>
            <w:r>
              <w:rPr>
                <w:rFonts w:hint="eastAsia" w:ascii="华文细黑" w:hAnsi="华文细黑" w:eastAsia="华文细黑" w:cs="华文细黑"/>
                <w:sz w:val="24"/>
                <w:szCs w:val="24"/>
              </w:rPr>
              <w:t>M</w:t>
            </w:r>
            <w:r>
              <w:rPr>
                <w:rFonts w:hint="eastAsia" w:ascii="华文细黑" w:hAnsi="华文细黑" w:eastAsia="华文细黑" w:cs="华文细黑"/>
                <w:sz w:val="24"/>
                <w:szCs w:val="24"/>
                <w:lang w:val="en-US" w:eastAsia="zh-CN"/>
              </w:rPr>
              <w:t>共享</w:t>
            </w:r>
            <w:r>
              <w:rPr>
                <w:rFonts w:hint="eastAsia" w:ascii="华文细黑" w:hAnsi="华文细黑" w:eastAsia="华文细黑" w:cs="华文细黑"/>
                <w:sz w:val="24"/>
                <w:szCs w:val="24"/>
              </w:rPr>
              <w:t>宽带</w:t>
            </w:r>
          </w:p>
        </w:tc>
        <w:tc>
          <w:tcPr>
            <w:tcW w:w="288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30</w:t>
            </w:r>
            <w:r>
              <w:rPr>
                <w:rFonts w:hint="eastAsia" w:ascii="华文细黑" w:hAnsi="华文细黑" w:eastAsia="华文细黑" w:cs="华文细黑"/>
                <w:sz w:val="24"/>
                <w:szCs w:val="24"/>
              </w:rPr>
              <w:t>0元/条/展期</w:t>
            </w:r>
          </w:p>
        </w:tc>
        <w:tc>
          <w:tcPr>
            <w:tcW w:w="3113" w:type="dxa"/>
            <w:noWrap w:val="0"/>
            <w:vAlign w:val="center"/>
          </w:tcPr>
          <w:p>
            <w:pPr>
              <w:spacing w:line="240" w:lineRule="auto"/>
              <w:jc w:val="cente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350</w:t>
            </w:r>
            <w:r>
              <w:rPr>
                <w:rFonts w:hint="eastAsia" w:ascii="华文细黑" w:hAnsi="华文细黑" w:eastAsia="华文细黑" w:cs="华文细黑"/>
                <w:sz w:val="24"/>
                <w:szCs w:val="24"/>
              </w:rPr>
              <w:t>元/条/展期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93" w:hRule="exact"/>
          <w:jc w:val="center"/>
        </w:trPr>
        <w:tc>
          <w:tcPr>
            <w:tcW w:w="9908" w:type="dxa"/>
            <w:gridSpan w:val="4"/>
            <w:noWrap w:val="0"/>
            <w:vAlign w:val="center"/>
          </w:tcPr>
          <w:p>
            <w:pPr>
              <w:spacing w:line="240" w:lineRule="auto"/>
              <w:ind w:left="960" w:hanging="960" w:hangingChars="40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备注：1.每家参展商主办方都会提供电源</w:t>
            </w:r>
            <w:r>
              <w:rPr>
                <w:rFonts w:hint="eastAsia" w:ascii="华文细黑" w:hAnsi="华文细黑" w:eastAsia="华文细黑" w:cs="华文细黑"/>
                <w:sz w:val="24"/>
                <w:szCs w:val="24"/>
                <w:lang w:eastAsia="zh-CN"/>
              </w:rPr>
              <w:t>，如需另外租赁，</w:t>
            </w:r>
            <w:r>
              <w:rPr>
                <w:rFonts w:hint="eastAsia" w:ascii="华文细黑" w:hAnsi="华文细黑" w:eastAsia="华文细黑" w:cs="华文细黑"/>
                <w:sz w:val="24"/>
                <w:szCs w:val="24"/>
              </w:rPr>
              <w:t>以上价格含电费、施工费、材料费、管理费；</w:t>
            </w:r>
          </w:p>
          <w:p>
            <w:pPr>
              <w:spacing w:line="240" w:lineRule="auto"/>
              <w:ind w:firstLine="720" w:firstLineChars="300"/>
              <w:jc w:val="both"/>
              <w:rPr>
                <w:rFonts w:hint="eastAsia" w:ascii="华文细黑" w:hAnsi="华文细黑" w:eastAsia="华文细黑" w:cs="华文细黑"/>
                <w:sz w:val="24"/>
                <w:szCs w:val="24"/>
              </w:rPr>
            </w:pPr>
            <w:r>
              <w:rPr>
                <w:rFonts w:hint="eastAsia" w:ascii="华文细黑" w:hAnsi="华文细黑" w:eastAsia="华文细黑" w:cs="华文细黑"/>
                <w:sz w:val="24"/>
                <w:szCs w:val="24"/>
              </w:rPr>
              <w:t>2.二次接驳</w:t>
            </w:r>
            <w:r>
              <w:rPr>
                <w:rFonts w:hint="eastAsia" w:ascii="华文细黑" w:hAnsi="华文细黑" w:eastAsia="华文细黑" w:cs="华文细黑"/>
                <w:sz w:val="24"/>
                <w:szCs w:val="24"/>
                <w:lang w:eastAsia="zh-CN"/>
              </w:rPr>
              <w:t>、</w:t>
            </w:r>
            <w:r>
              <w:rPr>
                <w:rFonts w:hint="eastAsia" w:ascii="华文细黑" w:hAnsi="华文细黑" w:eastAsia="华文细黑" w:cs="华文细黑"/>
                <w:sz w:val="24"/>
                <w:szCs w:val="24"/>
                <w:lang w:val="en-US" w:eastAsia="zh-CN"/>
              </w:rPr>
              <w:t>室外用电</w:t>
            </w:r>
            <w:r>
              <w:rPr>
                <w:rFonts w:hint="eastAsia" w:ascii="华文细黑" w:hAnsi="华文细黑" w:eastAsia="华文细黑" w:cs="华文细黑"/>
                <w:sz w:val="24"/>
                <w:szCs w:val="24"/>
              </w:rPr>
              <w:t>，加收100元/处接驳费；</w:t>
            </w:r>
          </w:p>
          <w:p>
            <w:pPr>
              <w:spacing w:line="240" w:lineRule="auto"/>
              <w:ind w:left="960" w:hanging="960" w:hangingChars="400"/>
              <w:jc w:val="left"/>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 </w:t>
            </w:r>
            <w:r>
              <w:rPr>
                <w:rFonts w:hint="eastAsia" w:ascii="华文细黑" w:hAnsi="华文细黑" w:eastAsia="华文细黑" w:cs="华文细黑"/>
                <w:sz w:val="24"/>
                <w:szCs w:val="24"/>
                <w:lang w:val="en-US" w:eastAsia="zh-CN"/>
              </w:rPr>
              <w:t xml:space="preserve">     </w:t>
            </w:r>
            <w:r>
              <w:rPr>
                <w:rFonts w:hint="eastAsia" w:ascii="华文细黑" w:hAnsi="华文细黑" w:eastAsia="华文细黑" w:cs="华文细黑"/>
                <w:sz w:val="24"/>
                <w:szCs w:val="24"/>
              </w:rPr>
              <w:t>3.展览期间24小时供电（仅限冰箱、充电器、充氧器等小电器），按标准价目3倍收取电费；</w:t>
            </w:r>
          </w:p>
          <w:p>
            <w:pPr>
              <w:spacing w:line="240" w:lineRule="auto"/>
              <w:ind w:left="960" w:hanging="960" w:hangingChars="400"/>
              <w:jc w:val="left"/>
              <w:rPr>
                <w:rFonts w:hint="eastAsia" w:ascii="华文细黑" w:hAnsi="华文细黑" w:eastAsia="华文细黑" w:cs="华文细黑"/>
                <w:sz w:val="24"/>
                <w:szCs w:val="24"/>
              </w:rPr>
            </w:pPr>
          </w:p>
          <w:p>
            <w:pPr>
              <w:spacing w:line="240" w:lineRule="auto"/>
              <w:ind w:left="960" w:hanging="960" w:hangingChars="400"/>
              <w:jc w:val="left"/>
              <w:rPr>
                <w:rFonts w:hint="eastAsia" w:ascii="华文细黑" w:hAnsi="华文细黑" w:eastAsia="华文细黑" w:cs="华文细黑"/>
                <w:sz w:val="24"/>
                <w:szCs w:val="24"/>
              </w:rPr>
            </w:pPr>
          </w:p>
          <w:p>
            <w:pPr>
              <w:spacing w:line="240" w:lineRule="auto"/>
              <w:ind w:left="840" w:hanging="960" w:hangingChars="400"/>
              <w:jc w:val="both"/>
              <w:rPr>
                <w:rFonts w:hint="eastAsia" w:ascii="华文细黑" w:hAnsi="华文细黑" w:eastAsia="华文细黑" w:cs="华文细黑"/>
                <w:sz w:val="24"/>
                <w:szCs w:val="24"/>
                <w:lang w:eastAsia="zh-CN"/>
              </w:rPr>
            </w:pPr>
            <w:r>
              <w:rPr>
                <w:rFonts w:hint="eastAsia" w:ascii="华文细黑" w:hAnsi="华文细黑" w:eastAsia="华文细黑" w:cs="华文细黑"/>
                <w:sz w:val="24"/>
                <w:szCs w:val="24"/>
              </w:rPr>
              <w:t xml:space="preserve">     </w:t>
            </w:r>
            <w:r>
              <w:rPr>
                <w:rFonts w:hint="eastAsia" w:ascii="华文细黑" w:hAnsi="华文细黑" w:eastAsia="华文细黑" w:cs="华文细黑"/>
                <w:sz w:val="24"/>
                <w:szCs w:val="24"/>
                <w:lang w:val="en-US" w:eastAsia="zh-CN"/>
              </w:rPr>
              <w:t xml:space="preserve"> </w:t>
            </w:r>
            <w:r>
              <w:rPr>
                <w:rFonts w:hint="eastAsia" w:ascii="华文细黑" w:hAnsi="华文细黑" w:eastAsia="华文细黑" w:cs="华文细黑"/>
                <w:sz w:val="24"/>
                <w:szCs w:val="24"/>
              </w:rPr>
              <w:t>4.在</w:t>
            </w:r>
            <w:r>
              <w:rPr>
                <w:rFonts w:hint="eastAsia" w:ascii="华文细黑" w:hAnsi="华文细黑" w:eastAsia="华文细黑" w:cs="华文细黑"/>
                <w:sz w:val="24"/>
                <w:szCs w:val="24"/>
                <w:lang w:val="en-US" w:eastAsia="zh-CN"/>
              </w:rPr>
              <w:t>11</w:t>
            </w:r>
            <w:r>
              <w:rPr>
                <w:rFonts w:hint="eastAsia" w:ascii="华文细黑" w:hAnsi="华文细黑" w:eastAsia="华文细黑" w:cs="华文细黑"/>
                <w:sz w:val="24"/>
                <w:szCs w:val="24"/>
              </w:rPr>
              <w:t>月</w:t>
            </w:r>
            <w:r>
              <w:rPr>
                <w:rFonts w:hint="eastAsia" w:ascii="华文细黑" w:hAnsi="华文细黑" w:eastAsia="华文细黑" w:cs="华文细黑"/>
                <w:sz w:val="24"/>
                <w:szCs w:val="24"/>
                <w:lang w:val="en-US" w:eastAsia="zh-CN"/>
              </w:rPr>
              <w:t>30</w:t>
            </w:r>
            <w:r>
              <w:rPr>
                <w:rFonts w:hint="eastAsia" w:ascii="华文细黑" w:hAnsi="华文细黑" w:eastAsia="华文细黑" w:cs="华文细黑"/>
                <w:sz w:val="24"/>
                <w:szCs w:val="24"/>
              </w:rPr>
              <w:t>日及之前申请，请选择”</w:t>
            </w:r>
            <w:r>
              <w:rPr>
                <w:rFonts w:hint="eastAsia" w:ascii="华文细黑" w:hAnsi="华文细黑" w:eastAsia="华文细黑" w:cs="华文细黑"/>
                <w:sz w:val="24"/>
                <w:szCs w:val="24"/>
                <w:lang w:val="en-US" w:eastAsia="zh-CN"/>
              </w:rPr>
              <w:t>11</w:t>
            </w:r>
            <w:r>
              <w:rPr>
                <w:rFonts w:hint="eastAsia" w:ascii="华文细黑" w:hAnsi="华文细黑" w:eastAsia="华文细黑" w:cs="华文细黑"/>
                <w:sz w:val="24"/>
                <w:szCs w:val="24"/>
              </w:rPr>
              <w:t>月</w:t>
            </w:r>
            <w:r>
              <w:rPr>
                <w:rFonts w:hint="eastAsia" w:ascii="华文细黑" w:hAnsi="华文细黑" w:eastAsia="华文细黑" w:cs="华文细黑"/>
                <w:sz w:val="24"/>
                <w:szCs w:val="24"/>
                <w:lang w:val="en-US" w:eastAsia="zh-CN"/>
              </w:rPr>
              <w:t>30</w:t>
            </w:r>
            <w:r>
              <w:rPr>
                <w:rFonts w:hint="eastAsia" w:ascii="华文细黑" w:hAnsi="华文细黑" w:eastAsia="华文细黑" w:cs="华文细黑"/>
                <w:sz w:val="24"/>
                <w:szCs w:val="24"/>
              </w:rPr>
              <w:t>日及之前价格”；</w:t>
            </w:r>
            <w:r>
              <w:rPr>
                <w:rFonts w:hint="eastAsia" w:ascii="华文细黑" w:hAnsi="华文细黑" w:eastAsia="华文细黑" w:cs="华文细黑"/>
                <w:sz w:val="24"/>
                <w:szCs w:val="24"/>
                <w:lang w:val="en-US" w:eastAsia="zh-CN"/>
              </w:rPr>
              <w:t>11</w:t>
            </w:r>
            <w:r>
              <w:rPr>
                <w:rFonts w:hint="eastAsia" w:ascii="华文细黑" w:hAnsi="华文细黑" w:eastAsia="华文细黑" w:cs="华文细黑"/>
                <w:sz w:val="24"/>
                <w:szCs w:val="24"/>
              </w:rPr>
              <w:t>月</w:t>
            </w:r>
            <w:r>
              <w:rPr>
                <w:rFonts w:hint="eastAsia" w:ascii="华文细黑" w:hAnsi="华文细黑" w:eastAsia="华文细黑" w:cs="华文细黑"/>
                <w:sz w:val="24"/>
                <w:szCs w:val="24"/>
                <w:lang w:val="en-US" w:eastAsia="zh-CN"/>
              </w:rPr>
              <w:t>30</w:t>
            </w:r>
            <w:r>
              <w:rPr>
                <w:rFonts w:hint="eastAsia" w:ascii="华文细黑" w:hAnsi="华文细黑" w:eastAsia="华文细黑" w:cs="华文细黑"/>
                <w:sz w:val="24"/>
                <w:szCs w:val="24"/>
              </w:rPr>
              <w:t>日之后申报，请选择“</w:t>
            </w:r>
            <w:r>
              <w:rPr>
                <w:rFonts w:hint="eastAsia" w:ascii="华文细黑" w:hAnsi="华文细黑" w:eastAsia="华文细黑" w:cs="华文细黑"/>
                <w:sz w:val="24"/>
                <w:szCs w:val="24"/>
                <w:lang w:val="en-US" w:eastAsia="zh-CN"/>
              </w:rPr>
              <w:t>11</w:t>
            </w:r>
            <w:r>
              <w:rPr>
                <w:rFonts w:hint="eastAsia" w:ascii="华文细黑" w:hAnsi="华文细黑" w:eastAsia="华文细黑" w:cs="华文细黑"/>
                <w:sz w:val="24"/>
                <w:szCs w:val="24"/>
              </w:rPr>
              <w:t>月</w:t>
            </w:r>
            <w:r>
              <w:rPr>
                <w:rFonts w:hint="eastAsia" w:ascii="华文细黑" w:hAnsi="华文细黑" w:eastAsia="华文细黑" w:cs="华文细黑"/>
                <w:sz w:val="24"/>
                <w:szCs w:val="24"/>
                <w:lang w:val="en-US" w:eastAsia="zh-CN"/>
              </w:rPr>
              <w:t>30</w:t>
            </w:r>
            <w:r>
              <w:rPr>
                <w:rFonts w:hint="eastAsia" w:ascii="华文细黑" w:hAnsi="华文细黑" w:eastAsia="华文细黑" w:cs="华文细黑"/>
                <w:sz w:val="24"/>
                <w:szCs w:val="24"/>
              </w:rPr>
              <w:t>日后价格”</w:t>
            </w:r>
            <w:r>
              <w:rPr>
                <w:rFonts w:hint="eastAsia" w:ascii="华文细黑" w:hAnsi="华文细黑" w:eastAsia="华文细黑" w:cs="华文细黑"/>
                <w:sz w:val="24"/>
                <w:szCs w:val="24"/>
                <w:lang w:eastAsia="zh-CN"/>
              </w:rPr>
              <w:t>；</w:t>
            </w:r>
          </w:p>
          <w:p>
            <w:pPr>
              <w:spacing w:line="240" w:lineRule="auto"/>
              <w:ind w:firstLine="720" w:firstLineChars="300"/>
              <w:jc w:val="both"/>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5.“有线宽带”请至少提前一天申请。</w:t>
            </w:r>
          </w:p>
        </w:tc>
      </w:tr>
    </w:tbl>
    <w:p>
      <w:pPr>
        <w:spacing w:line="240" w:lineRule="auto"/>
        <w:jc w:val="center"/>
        <w:rPr>
          <w:rFonts w:hint="eastAsia" w:ascii="华文细黑" w:hAnsi="华文细黑" w:eastAsia="华文细黑" w:cs="华文细黑"/>
          <w:sz w:val="21"/>
          <w:szCs w:val="21"/>
        </w:rPr>
      </w:pPr>
    </w:p>
    <w:p>
      <w:pPr>
        <w:adjustRightInd w:val="0"/>
        <w:snapToGrid w:val="0"/>
        <w:spacing w:line="400" w:lineRule="exact"/>
        <w:jc w:val="left"/>
        <w:rPr>
          <w:rFonts w:hint="eastAsia" w:ascii="华文细黑" w:hAnsi="华文细黑" w:eastAsia="华文细黑" w:cs="华文细黑"/>
          <w:b/>
          <w:bCs/>
          <w:color w:val="0000FF"/>
          <w:szCs w:val="21"/>
        </w:rPr>
      </w:pPr>
      <w:r>
        <w:rPr>
          <w:rFonts w:hint="eastAsia" w:ascii="华文细黑" w:hAnsi="华文细黑" w:eastAsia="华文细黑" w:cs="华文细黑"/>
          <w:b/>
          <w:bCs/>
          <w:color w:val="0000FF"/>
          <w:szCs w:val="21"/>
          <w:lang w:eastAsia="zh-CN"/>
        </w:rPr>
        <w:t>申请邮箱</w:t>
      </w:r>
      <w:r>
        <w:rPr>
          <w:rFonts w:hint="eastAsia" w:ascii="华文细黑" w:hAnsi="华文细黑" w:eastAsia="华文细黑" w:cs="华文细黑"/>
          <w:b/>
          <w:bCs/>
          <w:color w:val="0000FF"/>
          <w:szCs w:val="21"/>
        </w:rPr>
        <w:t>：</w:t>
      </w:r>
      <w:r>
        <w:rPr>
          <w:rFonts w:hint="eastAsia" w:ascii="华文细黑" w:hAnsi="华文细黑" w:eastAsia="华文细黑" w:cs="华文细黑"/>
          <w:b/>
          <w:bCs/>
          <w:color w:val="0000FF"/>
          <w:szCs w:val="21"/>
          <w:highlight w:val="none"/>
          <w:lang w:val="en-US" w:eastAsia="zh-CN"/>
        </w:rPr>
        <w:t>fjfloor@163.com</w:t>
      </w:r>
      <w:r>
        <w:rPr>
          <w:rFonts w:hint="eastAsia" w:ascii="华文细黑" w:hAnsi="华文细黑" w:eastAsia="华文细黑" w:cs="华文细黑"/>
          <w:b/>
          <w:bCs/>
          <w:color w:val="0000FF"/>
          <w:szCs w:val="21"/>
          <w:highlight w:val="none"/>
        </w:rPr>
        <w:t xml:space="preserve"> </w:t>
      </w:r>
      <w:r>
        <w:rPr>
          <w:rFonts w:hint="eastAsia" w:ascii="华文细黑" w:hAnsi="华文细黑" w:eastAsia="华文细黑" w:cs="华文细黑"/>
          <w:b/>
          <w:bCs/>
          <w:color w:val="0000FF"/>
          <w:szCs w:val="21"/>
        </w:rPr>
        <w:t>提交订单，订单在全部付款收到后生效。</w:t>
      </w:r>
    </w:p>
    <w:p>
      <w:pPr>
        <w:adjustRightInd w:val="0"/>
        <w:snapToGrid w:val="0"/>
        <w:spacing w:line="400" w:lineRule="exact"/>
        <w:jc w:val="left"/>
        <w:rPr>
          <w:rFonts w:hint="default" w:ascii="华文细黑" w:hAnsi="华文细黑" w:eastAsia="华文细黑" w:cs="华文细黑"/>
          <w:b/>
          <w:bCs/>
          <w:color w:val="0000FF"/>
          <w:szCs w:val="21"/>
          <w:lang w:val="en-US" w:eastAsia="zh-CN"/>
        </w:rPr>
      </w:pPr>
      <w:r>
        <w:rPr>
          <w:rFonts w:hint="eastAsia" w:ascii="华文细黑" w:hAnsi="华文细黑" w:eastAsia="华文细黑" w:cs="华文细黑"/>
          <w:b/>
          <w:bCs/>
          <w:color w:val="0000FF"/>
          <w:szCs w:val="21"/>
          <w:lang w:eastAsia="zh-CN"/>
        </w:rPr>
        <w:t>组委会</w:t>
      </w:r>
      <w:bookmarkStart w:id="58" w:name="_GoBack"/>
      <w:bookmarkEnd w:id="58"/>
      <w:r>
        <w:rPr>
          <w:rFonts w:hint="eastAsia" w:ascii="华文细黑" w:hAnsi="华文细黑" w:eastAsia="华文细黑" w:cs="华文细黑"/>
          <w:b/>
          <w:bCs/>
          <w:color w:val="0000FF"/>
          <w:szCs w:val="21"/>
        </w:rPr>
        <w:t>联系人：</w:t>
      </w:r>
      <w:r>
        <w:rPr>
          <w:rFonts w:hint="eastAsia" w:ascii="华文细黑" w:hAnsi="华文细黑" w:eastAsia="华文细黑" w:cs="华文细黑"/>
          <w:b/>
          <w:bCs/>
          <w:color w:val="0000FF"/>
          <w:szCs w:val="21"/>
          <w:lang w:eastAsia="zh-CN"/>
        </w:rPr>
        <w:t>颜秘书长</w:t>
      </w:r>
      <w:r>
        <w:rPr>
          <w:rFonts w:hint="eastAsia" w:ascii="华文细黑" w:hAnsi="华文细黑" w:eastAsia="华文细黑" w:cs="华文细黑"/>
          <w:b/>
          <w:bCs/>
          <w:color w:val="0000FF"/>
          <w:szCs w:val="21"/>
          <w:lang w:val="en-US" w:eastAsia="zh-CN"/>
        </w:rPr>
        <w:t xml:space="preserve"> 18259281820/吕主任 13799338358/</w:t>
      </w:r>
      <w:r>
        <w:rPr>
          <w:rFonts w:hint="eastAsia" w:ascii="华文细黑" w:hAnsi="华文细黑" w:eastAsia="华文细黑" w:cs="华文细黑"/>
          <w:b/>
          <w:bCs/>
          <w:color w:val="0000FF"/>
          <w:szCs w:val="21"/>
          <w:lang w:eastAsia="zh-CN"/>
        </w:rPr>
        <w:t>徐建东</w:t>
      </w:r>
      <w:r>
        <w:rPr>
          <w:rFonts w:hint="eastAsia" w:ascii="华文细黑" w:hAnsi="华文细黑" w:eastAsia="华文细黑" w:cs="华文细黑"/>
          <w:b/>
          <w:bCs/>
          <w:color w:val="0000FF"/>
          <w:szCs w:val="21"/>
          <w:lang w:val="en-US" w:eastAsia="zh-CN"/>
        </w:rPr>
        <w:t xml:space="preserve"> 13950105593（微信同号）</w:t>
      </w:r>
    </w:p>
    <w:p>
      <w:pPr>
        <w:spacing w:line="240" w:lineRule="auto"/>
        <w:rPr>
          <w:rFonts w:hint="eastAsia" w:ascii="华文细黑" w:hAnsi="华文细黑" w:eastAsia="华文细黑" w:cs="华文细黑"/>
          <w:szCs w:val="21"/>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cs="新宋体"/>
          <w:b/>
          <w:sz w:val="28"/>
          <w:szCs w:val="28"/>
        </w:rPr>
      </w:pPr>
    </w:p>
    <w:p>
      <w:pPr>
        <w:jc w:val="left"/>
        <w:rPr>
          <w:rFonts w:hint="eastAsia" w:ascii="宋体" w:hAnsi="宋体"/>
          <w:sz w:val="24"/>
          <w:szCs w:val="24"/>
        </w:rPr>
      </w:pPr>
      <w:bookmarkStart w:id="57" w:name="_Toc14726_WPSOffice_Level2"/>
      <w:r>
        <w:rPr>
          <w:rFonts w:hint="eastAsia" w:ascii="宋体" w:hAnsi="宋体" w:cs="新宋体"/>
          <w:b/>
          <w:sz w:val="28"/>
          <w:szCs w:val="28"/>
        </w:rPr>
        <w:t>2</w:t>
      </w:r>
      <w:r>
        <w:rPr>
          <w:rFonts w:hint="eastAsia" w:ascii="宋体" w:hAnsi="宋体" w:cs="新宋体"/>
          <w:b/>
          <w:sz w:val="28"/>
          <w:szCs w:val="28"/>
          <w:lang w:val="en-US" w:eastAsia="zh-CN"/>
        </w:rPr>
        <w:t>.</w:t>
      </w:r>
      <w:r>
        <w:rPr>
          <w:rFonts w:hint="eastAsia" w:ascii="宋体" w:hAnsi="宋体" w:cs="新宋体"/>
          <w:b/>
          <w:sz w:val="28"/>
          <w:szCs w:val="28"/>
        </w:rPr>
        <w:t>相关附件</w:t>
      </w:r>
      <w:bookmarkEnd w:id="57"/>
    </w:p>
    <w:p>
      <w:pPr>
        <w:spacing w:line="240" w:lineRule="auto"/>
        <w:rPr>
          <w:rFonts w:hint="eastAsia" w:ascii="宋体" w:hAnsi="宋体"/>
          <w:sz w:val="24"/>
          <w:szCs w:val="24"/>
        </w:rPr>
      </w:pPr>
    </w:p>
    <w:p>
      <w:pPr>
        <w:spacing w:line="240" w:lineRule="auto"/>
        <w:rPr>
          <w:rFonts w:ascii="宋体" w:hAnsi="宋体" w:cs="新宋体"/>
          <w:sz w:val="24"/>
          <w:szCs w:val="24"/>
        </w:rPr>
      </w:pPr>
      <w:r>
        <w:rPr>
          <w:rFonts w:hint="eastAsia" w:ascii="宋体" w:hAnsi="宋体"/>
          <w:sz w:val="24"/>
          <w:szCs w:val="24"/>
        </w:rPr>
        <w:t>2.</w:t>
      </w:r>
      <w:r>
        <w:rPr>
          <w:rFonts w:hint="eastAsia" w:ascii="宋体" w:hAnsi="宋体"/>
          <w:sz w:val="24"/>
          <w:szCs w:val="24"/>
          <w:lang w:val="en-US" w:eastAsia="zh-CN"/>
        </w:rPr>
        <w:t>1</w:t>
      </w:r>
      <w:r>
        <w:rPr>
          <w:rFonts w:hint="eastAsia" w:ascii="宋体" w:hAnsi="宋体"/>
          <w:sz w:val="24"/>
          <w:szCs w:val="24"/>
        </w:rPr>
        <w:t>净地</w:t>
      </w:r>
      <w:r>
        <w:rPr>
          <w:rFonts w:hint="eastAsia" w:ascii="宋体" w:hAnsi="宋体" w:cs="新宋体"/>
          <w:sz w:val="24"/>
          <w:szCs w:val="24"/>
        </w:rPr>
        <w:t>展位搭建委托书</w:t>
      </w:r>
    </w:p>
    <w:p>
      <w:pPr>
        <w:pStyle w:val="52"/>
        <w:spacing w:line="240" w:lineRule="auto"/>
        <w:jc w:val="center"/>
        <w:rPr>
          <w:rStyle w:val="59"/>
          <w:rFonts w:ascii="宋体" w:hAnsi="宋体" w:eastAsia="宋体" w:cs="新宋体"/>
          <w:color w:val="auto"/>
        </w:rPr>
      </w:pPr>
      <w:r>
        <w:rPr>
          <w:rStyle w:val="59"/>
          <w:rFonts w:hint="eastAsia" w:ascii="宋体" w:hAnsi="宋体" w:eastAsia="宋体" w:cs="新宋体"/>
          <w:color w:val="auto"/>
          <w:lang w:val="en-US" w:eastAsia="zh-CN"/>
        </w:rPr>
        <w:t>2019第三届中国（厦门）国际绿色建筑产业博览会 福建-地坪展</w:t>
      </w:r>
      <w:r>
        <w:rPr>
          <w:rStyle w:val="59"/>
          <w:rFonts w:hint="eastAsia" w:ascii="宋体" w:hAnsi="宋体" w:eastAsia="宋体" w:cs="新宋体"/>
          <w:color w:val="auto"/>
        </w:rPr>
        <w:t>净地展位搭建委托书</w:t>
      </w:r>
    </w:p>
    <w:p>
      <w:pPr>
        <w:pStyle w:val="26"/>
        <w:rPr>
          <w:rFonts w:ascii="宋体" w:hAnsi="宋体" w:eastAsia="宋体"/>
          <w:color w:val="auto"/>
        </w:rPr>
      </w:pPr>
    </w:p>
    <w:p>
      <w:pPr>
        <w:pStyle w:val="28"/>
        <w:spacing w:line="240" w:lineRule="auto"/>
        <w:rPr>
          <w:rFonts w:ascii="宋体" w:hAnsi="宋体" w:eastAsia="宋体" w:cs="新宋体"/>
          <w:kern w:val="2"/>
        </w:rPr>
      </w:pPr>
    </w:p>
    <w:p>
      <w:pPr>
        <w:pStyle w:val="28"/>
        <w:spacing w:line="360" w:lineRule="auto"/>
        <w:ind w:firstLine="480" w:firstLineChars="200"/>
        <w:rPr>
          <w:rFonts w:ascii="宋体" w:hAnsi="宋体" w:eastAsia="宋体" w:cs="新宋体"/>
          <w:kern w:val="2"/>
          <w:u w:val="single"/>
        </w:rPr>
      </w:pPr>
      <w:r>
        <w:rPr>
          <w:rFonts w:hint="eastAsia" w:ascii="宋体" w:hAnsi="宋体" w:eastAsia="宋体" w:cs="新宋体"/>
          <w:kern w:val="2"/>
        </w:rPr>
        <w:t>兹有</w:t>
      </w:r>
      <w:r>
        <w:rPr>
          <w:rFonts w:hint="eastAsia" w:ascii="宋体" w:hAnsi="宋体" w:eastAsia="宋体" w:cs="新宋体"/>
          <w:kern w:val="2"/>
          <w:lang w:eastAsia="zh-CN"/>
        </w:rPr>
        <w:t>2019第三届中国（厦门）国际绿色建筑产业博览会</w:t>
      </w:r>
      <w:r>
        <w:rPr>
          <w:rFonts w:hint="eastAsia" w:ascii="宋体" w:hAnsi="宋体" w:eastAsia="宋体" w:cs="新宋体"/>
          <w:kern w:val="2"/>
        </w:rPr>
        <w:t>参展单位</w:t>
      </w:r>
      <w:r>
        <w:rPr>
          <w:rFonts w:hint="eastAsia" w:ascii="宋体" w:hAnsi="宋体" w:eastAsia="宋体" w:cs="新宋体"/>
          <w:kern w:val="2"/>
          <w:u w:val="single"/>
        </w:rPr>
        <w:t xml:space="preserve">                        </w:t>
      </w:r>
      <w:r>
        <w:rPr>
          <w:rFonts w:hint="eastAsia" w:ascii="宋体" w:hAnsi="宋体" w:eastAsia="宋体" w:cs="新宋体"/>
          <w:kern w:val="2"/>
        </w:rPr>
        <w:t>，展位号</w:t>
      </w:r>
      <w:r>
        <w:rPr>
          <w:rFonts w:hint="eastAsia" w:ascii="宋体" w:hAnsi="宋体" w:eastAsia="宋体" w:cs="新宋体"/>
          <w:kern w:val="2"/>
          <w:u w:val="single"/>
        </w:rPr>
        <w:t xml:space="preserve">            </w:t>
      </w:r>
      <w:r>
        <w:rPr>
          <w:rFonts w:hint="eastAsia" w:ascii="宋体" w:hAnsi="宋体" w:eastAsia="宋体" w:cs="新宋体"/>
          <w:kern w:val="2"/>
        </w:rPr>
        <w:t>，面积</w:t>
      </w:r>
      <w:r>
        <w:rPr>
          <w:rFonts w:hint="eastAsia" w:ascii="宋体" w:hAnsi="宋体" w:eastAsia="宋体" w:cs="新宋体"/>
          <w:kern w:val="2"/>
          <w:u w:val="single"/>
        </w:rPr>
        <w:t xml:space="preserve">      </w:t>
      </w:r>
      <w:r>
        <w:rPr>
          <w:rFonts w:hint="eastAsia" w:ascii="宋体" w:hAnsi="宋体" w:eastAsia="宋体" w:cs="新宋体"/>
          <w:kern w:val="2"/>
        </w:rPr>
        <w:t>㎡，现委托</w:t>
      </w:r>
      <w:r>
        <w:rPr>
          <w:rFonts w:hint="eastAsia" w:ascii="宋体" w:hAnsi="宋体" w:eastAsia="宋体" w:cs="新宋体"/>
          <w:kern w:val="2"/>
          <w:u w:val="single"/>
        </w:rPr>
        <w:t xml:space="preserve">                        </w:t>
      </w:r>
      <w:r>
        <w:rPr>
          <w:rFonts w:hint="eastAsia" w:ascii="宋体" w:hAnsi="宋体" w:eastAsia="宋体" w:cs="新宋体"/>
          <w:kern w:val="2"/>
        </w:rPr>
        <w:t>为我单位展位唯一展台搭建商，并且承诺：</w:t>
      </w:r>
    </w:p>
    <w:p>
      <w:pPr>
        <w:pStyle w:val="28"/>
        <w:spacing w:line="360" w:lineRule="auto"/>
        <w:ind w:firstLine="160"/>
        <w:rPr>
          <w:rFonts w:ascii="宋体" w:hAnsi="宋体" w:eastAsia="宋体" w:cs="新宋体"/>
          <w:kern w:val="2"/>
        </w:rPr>
      </w:pPr>
    </w:p>
    <w:p>
      <w:pPr>
        <w:pStyle w:val="46"/>
        <w:ind w:firstLine="0" w:firstLineChars="0"/>
        <w:rPr>
          <w:rFonts w:ascii="宋体" w:hAnsi="宋体" w:cs="新宋体"/>
          <w:sz w:val="24"/>
          <w:szCs w:val="24"/>
        </w:rPr>
      </w:pPr>
      <w:r>
        <w:rPr>
          <w:rFonts w:hint="eastAsia" w:ascii="宋体" w:hAnsi="宋体" w:cs="新宋体"/>
          <w:sz w:val="24"/>
          <w:szCs w:val="24"/>
        </w:rPr>
        <w:t>1） 该搭建公司经考察审核合格后确认为本展位唯一指定搭建商，且具有搭建资格；</w:t>
      </w:r>
    </w:p>
    <w:p>
      <w:pPr>
        <w:pStyle w:val="46"/>
        <w:ind w:firstLine="0" w:firstLineChars="0"/>
        <w:rPr>
          <w:rFonts w:ascii="宋体" w:hAnsi="宋体" w:cs="新宋体"/>
          <w:sz w:val="24"/>
          <w:szCs w:val="24"/>
        </w:rPr>
      </w:pPr>
      <w:r>
        <w:rPr>
          <w:rFonts w:hint="eastAsia" w:ascii="宋体" w:hAnsi="宋体" w:cs="新宋体"/>
          <w:sz w:val="24"/>
          <w:szCs w:val="24"/>
        </w:rPr>
        <w:t>2） 我单位已同该搭建公司签订相关搭建合同，确保展位安全施工及正常运行；</w:t>
      </w:r>
    </w:p>
    <w:p>
      <w:pPr>
        <w:ind w:left="480" w:hanging="480" w:hangingChars="200"/>
        <w:rPr>
          <w:rFonts w:ascii="宋体" w:hAnsi="宋体" w:cs="新宋体"/>
          <w:sz w:val="24"/>
          <w:szCs w:val="24"/>
        </w:rPr>
      </w:pPr>
      <w:r>
        <w:rPr>
          <w:rFonts w:hint="eastAsia" w:ascii="宋体" w:hAnsi="宋体" w:cs="新宋体"/>
          <w:sz w:val="24"/>
          <w:szCs w:val="24"/>
        </w:rPr>
        <w:t>3） 我单位已详知大会展区施工管理相关细则，并要求我公司委托的搭建公司严格遵守管理规定服从管理安排；</w:t>
      </w:r>
    </w:p>
    <w:p>
      <w:pPr>
        <w:ind w:left="480" w:hanging="480" w:hangingChars="200"/>
        <w:rPr>
          <w:rFonts w:ascii="宋体" w:hAnsi="宋体" w:cs="新宋体"/>
          <w:sz w:val="24"/>
          <w:szCs w:val="24"/>
        </w:rPr>
      </w:pPr>
      <w:r>
        <w:rPr>
          <w:rFonts w:hint="eastAsia" w:ascii="宋体" w:hAnsi="宋体" w:cs="新宋体"/>
          <w:sz w:val="24"/>
          <w:szCs w:val="24"/>
        </w:rPr>
        <w:t xml:space="preserve">4) </w:t>
      </w:r>
      <w:r>
        <w:rPr>
          <w:rFonts w:hint="eastAsia" w:ascii="宋体" w:hAnsi="宋体" w:cs="新宋体"/>
          <w:sz w:val="24"/>
          <w:szCs w:val="24"/>
        </w:rPr>
        <w:tab/>
      </w:r>
      <w:r>
        <w:rPr>
          <w:rFonts w:hint="eastAsia" w:ascii="宋体" w:hAnsi="宋体" w:cs="新宋体"/>
          <w:sz w:val="24"/>
          <w:szCs w:val="24"/>
        </w:rPr>
        <w:t>配合组委会主场服务商对展台安全进行监督，如我单位委托的搭建商违反展馆相关施工安全规定，组委会有权对其进行违约扣除；</w:t>
      </w:r>
    </w:p>
    <w:p>
      <w:pPr>
        <w:ind w:left="480" w:hanging="480" w:hangingChars="200"/>
        <w:rPr>
          <w:rFonts w:ascii="宋体" w:hAnsi="宋体" w:cs="新宋体"/>
          <w:sz w:val="24"/>
          <w:szCs w:val="24"/>
        </w:rPr>
      </w:pPr>
      <w:r>
        <w:rPr>
          <w:rFonts w:hint="eastAsia" w:ascii="宋体" w:hAnsi="宋体" w:cs="新宋体"/>
          <w:sz w:val="24"/>
          <w:szCs w:val="24"/>
        </w:rPr>
        <w:t>5)</w:t>
      </w:r>
      <w:r>
        <w:rPr>
          <w:rFonts w:hint="eastAsia" w:ascii="宋体" w:hAnsi="宋体" w:cs="新宋体"/>
          <w:sz w:val="24"/>
          <w:szCs w:val="24"/>
        </w:rPr>
        <w:tab/>
      </w:r>
      <w:r>
        <w:rPr>
          <w:rFonts w:hint="eastAsia" w:ascii="宋体" w:hAnsi="宋体" w:cs="新宋体"/>
          <w:sz w:val="24"/>
          <w:szCs w:val="24"/>
        </w:rPr>
        <w:t>我单位将认真加强对搭建公司的监督，若违反大会展区施工管理相关规定及音量规定，我公司愿意接受展会统一的违约扣除，并承担其后果。</w:t>
      </w:r>
    </w:p>
    <w:p>
      <w:pPr>
        <w:spacing w:line="240" w:lineRule="auto"/>
        <w:rPr>
          <w:rFonts w:hint="eastAsia" w:ascii="宋体" w:hAnsi="宋体" w:cs="新宋体"/>
          <w:sz w:val="24"/>
          <w:szCs w:val="24"/>
        </w:rPr>
        <w:sectPr>
          <w:headerReference r:id="rId3" w:type="default"/>
          <w:footerReference r:id="rId4" w:type="default"/>
          <w:pgSz w:w="11906" w:h="16838"/>
          <w:pgMar w:top="850" w:right="1503" w:bottom="850" w:left="1321" w:header="851" w:footer="567" w:gutter="0"/>
          <w:cols w:space="0" w:num="1"/>
          <w:rtlGutter w:val="0"/>
          <w:docGrid w:type="lines" w:linePitch="312" w:charSpace="0"/>
        </w:sect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rPr>
          <w:rFonts w:ascii="宋体" w:hAnsi="宋体" w:cs="新宋体"/>
          <w:sz w:val="24"/>
          <w:szCs w:val="24"/>
        </w:rPr>
      </w:pPr>
      <w:r>
        <w:rPr>
          <w:rFonts w:hint="eastAsia" w:ascii="宋体" w:hAnsi="宋体" w:cs="新宋体"/>
          <w:sz w:val="24"/>
          <w:szCs w:val="24"/>
        </w:rPr>
        <w:t xml:space="preserve">委托单位（盖章）  </w:t>
      </w:r>
      <w:r>
        <w:rPr>
          <w:rFonts w:hint="eastAsia" w:ascii="宋体" w:hAnsi="宋体" w:cs="新宋体"/>
          <w:sz w:val="24"/>
          <w:szCs w:val="24"/>
          <w:lang w:val="en-US" w:eastAsia="zh-CN"/>
        </w:rPr>
        <w:t xml:space="preserve">                          </w:t>
      </w:r>
      <w:r>
        <w:rPr>
          <w:rFonts w:hint="eastAsia" w:ascii="宋体" w:hAnsi="宋体" w:cs="新宋体"/>
          <w:sz w:val="24"/>
          <w:szCs w:val="24"/>
        </w:rPr>
        <w:t xml:space="preserve">被委托单位（盖章）                           </w:t>
      </w:r>
    </w:p>
    <w:p>
      <w:pPr>
        <w:autoSpaceDE w:val="0"/>
        <w:autoSpaceDN w:val="0"/>
        <w:adjustRightInd w:val="0"/>
        <w:jc w:val="left"/>
        <w:rPr>
          <w:rFonts w:ascii="宋体" w:hAnsi="宋体" w:cs="新宋体"/>
          <w:sz w:val="24"/>
          <w:szCs w:val="24"/>
        </w:rPr>
      </w:pPr>
      <w:r>
        <w:rPr>
          <w:rFonts w:hint="eastAsia" w:ascii="宋体" w:hAnsi="宋体" w:cs="新宋体"/>
          <w:sz w:val="24"/>
          <w:szCs w:val="24"/>
        </w:rPr>
        <w:t xml:space="preserve">授权代表签字：              </w:t>
      </w:r>
      <w:r>
        <w:rPr>
          <w:rFonts w:hint="eastAsia" w:ascii="宋体" w:hAnsi="宋体" w:cs="新宋体"/>
          <w:sz w:val="24"/>
          <w:szCs w:val="24"/>
          <w:lang w:val="en-US" w:eastAsia="zh-CN"/>
        </w:rPr>
        <w:t xml:space="preserve">                </w:t>
      </w:r>
      <w:r>
        <w:rPr>
          <w:rFonts w:hint="eastAsia" w:ascii="宋体" w:hAnsi="宋体" w:cs="新宋体"/>
          <w:sz w:val="24"/>
          <w:szCs w:val="24"/>
        </w:rPr>
        <w:t xml:space="preserve">授权代表签字：                  </w:t>
      </w:r>
    </w:p>
    <w:p>
      <w:pPr>
        <w:rPr>
          <w:rFonts w:ascii="宋体" w:hAnsi="宋体" w:cs="新宋体"/>
          <w:sz w:val="24"/>
          <w:szCs w:val="24"/>
        </w:rPr>
      </w:pPr>
      <w:r>
        <w:rPr>
          <w:rFonts w:hint="eastAsia" w:ascii="宋体" w:hAnsi="宋体" w:cs="新宋体"/>
          <w:sz w:val="24"/>
          <w:szCs w:val="24"/>
        </w:rPr>
        <w:t xml:space="preserve">现场负责人手机号码： </w:t>
      </w:r>
      <w:r>
        <w:rPr>
          <w:rFonts w:hint="eastAsia" w:ascii="宋体" w:hAnsi="宋体" w:cs="新宋体"/>
          <w:sz w:val="24"/>
          <w:szCs w:val="24"/>
          <w:lang w:val="en-US" w:eastAsia="zh-CN"/>
        </w:rPr>
        <w:t xml:space="preserve">                       </w:t>
      </w:r>
      <w:r>
        <w:rPr>
          <w:rFonts w:hint="eastAsia" w:ascii="宋体" w:hAnsi="宋体" w:cs="新宋体"/>
          <w:sz w:val="24"/>
          <w:szCs w:val="24"/>
        </w:rPr>
        <w:t xml:space="preserve">现场负责人手机号码：                          </w:t>
      </w:r>
    </w:p>
    <w:p>
      <w:pPr>
        <w:rPr>
          <w:rFonts w:hint="default" w:ascii="宋体" w:hAnsi="宋体" w:eastAsia="宋体" w:cs="新宋体"/>
          <w:sz w:val="24"/>
          <w:szCs w:val="24"/>
          <w:lang w:val="en-US" w:eastAsia="zh-CN"/>
        </w:rPr>
      </w:pPr>
      <w:r>
        <w:rPr>
          <w:rFonts w:hint="eastAsia" w:ascii="宋体" w:hAnsi="宋体" w:cs="新宋体"/>
          <w:sz w:val="24"/>
          <w:szCs w:val="24"/>
        </w:rPr>
        <w:t>201</w:t>
      </w:r>
      <w:r>
        <w:rPr>
          <w:rFonts w:hint="eastAsia" w:ascii="宋体" w:hAnsi="宋体" w:cs="新宋体"/>
          <w:sz w:val="24"/>
          <w:szCs w:val="24"/>
          <w:lang w:val="en-US" w:eastAsia="zh-CN"/>
        </w:rPr>
        <w:t>9</w:t>
      </w:r>
      <w:r>
        <w:rPr>
          <w:rFonts w:hint="eastAsia" w:ascii="宋体" w:hAnsi="宋体" w:cs="新宋体"/>
          <w:sz w:val="24"/>
          <w:szCs w:val="24"/>
        </w:rPr>
        <w:t xml:space="preserve">年  月  日  </w:t>
      </w:r>
      <w:r>
        <w:rPr>
          <w:rFonts w:hint="eastAsia" w:ascii="宋体" w:hAnsi="宋体" w:cs="新宋体"/>
          <w:sz w:val="24"/>
          <w:szCs w:val="24"/>
          <w:lang w:val="en-US" w:eastAsia="zh-CN"/>
        </w:rPr>
        <w:t xml:space="preserve">                            </w:t>
      </w:r>
      <w:r>
        <w:rPr>
          <w:rFonts w:ascii="宋体" w:hAnsi="宋体" w:cs="新宋体"/>
          <w:sz w:val="24"/>
          <w:szCs w:val="24"/>
        </w:rPr>
        <w:t>201</w:t>
      </w:r>
      <w:r>
        <w:rPr>
          <w:rFonts w:hint="eastAsia" w:ascii="宋体" w:hAnsi="宋体" w:cs="新宋体"/>
          <w:sz w:val="24"/>
          <w:szCs w:val="24"/>
          <w:lang w:val="en-US" w:eastAsia="zh-CN"/>
        </w:rPr>
        <w:t>9</w:t>
      </w:r>
      <w:r>
        <w:rPr>
          <w:rFonts w:hint="eastAsia" w:ascii="宋体" w:hAnsi="宋体" w:cs="新宋体"/>
          <w:sz w:val="24"/>
          <w:szCs w:val="24"/>
        </w:rPr>
        <w:t>年 月  日</w:t>
      </w: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p>
    <w:p>
      <w:pPr>
        <w:spacing w:line="240" w:lineRule="auto"/>
        <w:rPr>
          <w:rFonts w:hint="eastAsia" w:ascii="宋体" w:hAnsi="宋体" w:cs="新宋体"/>
          <w:sz w:val="24"/>
          <w:szCs w:val="24"/>
        </w:rPr>
      </w:pPr>
      <w:r>
        <w:rPr>
          <w:rFonts w:hint="eastAsia" w:ascii="宋体" w:hAnsi="宋体" w:cs="新宋体"/>
          <w:sz w:val="24"/>
          <w:szCs w:val="24"/>
        </w:rPr>
        <w:t>2.</w:t>
      </w:r>
      <w:r>
        <w:rPr>
          <w:rFonts w:hint="eastAsia" w:ascii="宋体" w:hAnsi="宋体" w:cs="新宋体"/>
          <w:sz w:val="24"/>
          <w:szCs w:val="24"/>
          <w:lang w:val="en-US" w:eastAsia="zh-CN"/>
        </w:rPr>
        <w:t>2</w:t>
      </w:r>
      <w:r>
        <w:rPr>
          <w:rFonts w:hint="eastAsia" w:ascii="宋体" w:hAnsi="宋体" w:cs="新宋体"/>
          <w:sz w:val="24"/>
          <w:szCs w:val="24"/>
        </w:rPr>
        <w:t xml:space="preserve"> 参展商文明参展承诺书</w:t>
      </w:r>
    </w:p>
    <w:p>
      <w:pPr>
        <w:pStyle w:val="52"/>
        <w:spacing w:line="240" w:lineRule="auto"/>
        <w:jc w:val="center"/>
        <w:rPr>
          <w:rFonts w:hint="eastAsia"/>
        </w:rPr>
      </w:pPr>
      <w:r>
        <w:rPr>
          <w:rStyle w:val="59"/>
          <w:rFonts w:hint="eastAsia" w:ascii="宋体" w:hAnsi="宋体" w:eastAsia="宋体" w:cs="新宋体"/>
          <w:color w:val="auto"/>
        </w:rPr>
        <w:t>2019第三届中国（厦门）国际绿色建筑产业博览会福建-地坪展 参展商文明参展承诺书</w:t>
      </w:r>
    </w:p>
    <w:p>
      <w:pPr>
        <w:pStyle w:val="41"/>
        <w:ind w:firstLine="360" w:firstLineChars="150"/>
        <w:jc w:val="left"/>
        <w:rPr>
          <w:rFonts w:ascii="宋体" w:hAnsi="宋体" w:cs="新宋体"/>
          <w:sz w:val="24"/>
          <w:szCs w:val="24"/>
        </w:rPr>
      </w:pPr>
      <w:r>
        <w:rPr>
          <w:rFonts w:hint="eastAsia" w:ascii="宋体" w:hAnsi="宋体" w:cs="新宋体"/>
          <w:sz w:val="24"/>
          <w:szCs w:val="24"/>
        </w:rPr>
        <w:t>规范交易秩序，营造良好参展环境，是每一个参展企业的共同责任。为此，我单位郑重承诺，在2019第三届中国（厦门）国际绿色建筑产业博览会福建-地坪展期间，认真做好以下几点：</w:t>
      </w:r>
    </w:p>
    <w:p>
      <w:pPr>
        <w:pStyle w:val="41"/>
        <w:ind w:left="780" w:leftChars="200" w:hanging="360" w:hangingChars="150"/>
        <w:rPr>
          <w:rFonts w:ascii="宋体" w:hAnsi="宋体" w:cs="新宋体"/>
          <w:sz w:val="24"/>
          <w:szCs w:val="24"/>
        </w:rPr>
      </w:pPr>
      <w:r>
        <w:rPr>
          <w:rFonts w:hint="eastAsia" w:ascii="宋体" w:hAnsi="宋体" w:cs="新宋体"/>
          <w:sz w:val="24"/>
          <w:szCs w:val="24"/>
        </w:rPr>
        <w:t>1）严格遵守各项管理规定，在参展期间不使用大功率音响设备，不占用展会公共通道，不进行低俗节目表演，不雇用人员在展场内举牌巡游，不随意张贴、摆放未经</w:t>
      </w:r>
      <w:r>
        <w:rPr>
          <w:rFonts w:hint="eastAsia" w:ascii="宋体" w:hAnsi="宋体" w:cs="新宋体"/>
          <w:sz w:val="24"/>
          <w:szCs w:val="24"/>
          <w:lang w:val="en-US" w:eastAsia="zh-CN"/>
        </w:rPr>
        <w:t>绿色建筑展</w:t>
      </w:r>
      <w:r>
        <w:rPr>
          <w:rFonts w:hint="eastAsia" w:ascii="宋体" w:hAnsi="宋体" w:cs="新宋体"/>
          <w:sz w:val="24"/>
          <w:szCs w:val="24"/>
        </w:rPr>
        <w:t>组织机构允许的广告；</w:t>
      </w:r>
    </w:p>
    <w:p>
      <w:pPr>
        <w:pStyle w:val="41"/>
        <w:ind w:left="660" w:leftChars="200" w:hanging="240" w:hangingChars="100"/>
        <w:rPr>
          <w:rFonts w:ascii="宋体" w:hAnsi="宋体" w:cs="新宋体"/>
          <w:sz w:val="24"/>
          <w:szCs w:val="24"/>
        </w:rPr>
      </w:pPr>
      <w:r>
        <w:rPr>
          <w:rFonts w:hint="eastAsia" w:ascii="宋体" w:hAnsi="宋体" w:cs="新宋体"/>
          <w:sz w:val="24"/>
          <w:szCs w:val="24"/>
        </w:rPr>
        <w:t>2）严格遵守国家关于知识产权管理的有关规定，不侵犯他人知识产权，不展示侵权产品，参展期间携带好本单位相关知识产权证明；遇有相关投诉，积极配合</w:t>
      </w:r>
      <w:r>
        <w:rPr>
          <w:rFonts w:hint="eastAsia" w:ascii="宋体" w:hAnsi="宋体" w:cs="新宋体"/>
          <w:sz w:val="24"/>
          <w:szCs w:val="24"/>
          <w:lang w:val="en-US" w:eastAsia="zh-CN"/>
        </w:rPr>
        <w:t>绿色建筑展</w:t>
      </w:r>
      <w:r>
        <w:rPr>
          <w:rFonts w:hint="eastAsia" w:ascii="宋体" w:hAnsi="宋体" w:cs="新宋体"/>
          <w:sz w:val="24"/>
          <w:szCs w:val="24"/>
        </w:rPr>
        <w:t>组织机构及知识产权管理部门的相关工作，一经确认侵权，立即停止侵权产品展示；</w:t>
      </w:r>
    </w:p>
    <w:p>
      <w:pPr>
        <w:pStyle w:val="41"/>
        <w:ind w:left="640" w:leftChars="200" w:hanging="220" w:firstLineChars="0"/>
        <w:rPr>
          <w:rFonts w:ascii="宋体" w:hAnsi="宋体" w:cs="新宋体"/>
          <w:sz w:val="24"/>
          <w:szCs w:val="24"/>
        </w:rPr>
      </w:pPr>
      <w:r>
        <w:rPr>
          <w:rFonts w:hint="eastAsia" w:ascii="宋体" w:hAnsi="宋体" w:cs="新宋体"/>
          <w:sz w:val="24"/>
          <w:szCs w:val="24"/>
        </w:rPr>
        <w:t>3）严格遵守</w:t>
      </w:r>
      <w:r>
        <w:rPr>
          <w:rFonts w:hint="eastAsia" w:ascii="宋体" w:hAnsi="宋体" w:cs="新宋体"/>
          <w:sz w:val="24"/>
          <w:szCs w:val="24"/>
          <w:lang w:val="en-US" w:eastAsia="zh-CN"/>
        </w:rPr>
        <w:t>绿色建筑展</w:t>
      </w:r>
      <w:r>
        <w:rPr>
          <w:rFonts w:hint="eastAsia" w:ascii="宋体" w:hAnsi="宋体" w:cs="新宋体"/>
          <w:sz w:val="24"/>
          <w:szCs w:val="24"/>
        </w:rPr>
        <w:t>搭建安全管理规定，不使用不安全材料，不采纳不安全搭建方案，严格监管本单位搭建商，避免发生安全事故，确保本单位展位搭建安全；如因我单位原因引发安全事故，相关责任由我单位承担，与</w:t>
      </w:r>
      <w:r>
        <w:rPr>
          <w:rFonts w:hint="eastAsia" w:ascii="宋体" w:hAnsi="宋体" w:cs="新宋体"/>
          <w:sz w:val="24"/>
          <w:szCs w:val="24"/>
          <w:lang w:val="en-US" w:eastAsia="zh-CN"/>
        </w:rPr>
        <w:t>绿色建筑展</w:t>
      </w:r>
      <w:r>
        <w:rPr>
          <w:rFonts w:hint="eastAsia" w:ascii="宋体" w:hAnsi="宋体" w:cs="新宋体"/>
          <w:sz w:val="24"/>
          <w:szCs w:val="24"/>
        </w:rPr>
        <w:t>组织机构及主场服务商无关；</w:t>
      </w:r>
    </w:p>
    <w:p>
      <w:pPr>
        <w:pStyle w:val="41"/>
        <w:ind w:left="780" w:leftChars="200" w:hanging="360" w:hangingChars="150"/>
        <w:rPr>
          <w:rFonts w:ascii="宋体" w:hAnsi="宋体" w:cs="新宋体"/>
          <w:sz w:val="24"/>
          <w:szCs w:val="24"/>
        </w:rPr>
      </w:pPr>
      <w:r>
        <w:rPr>
          <w:rFonts w:hint="eastAsia" w:ascii="宋体" w:hAnsi="宋体" w:cs="新宋体"/>
          <w:sz w:val="24"/>
          <w:szCs w:val="24"/>
        </w:rPr>
        <w:t>4）严格遵守</w:t>
      </w:r>
      <w:r>
        <w:rPr>
          <w:rFonts w:hint="eastAsia" w:ascii="宋体" w:hAnsi="宋体" w:cs="新宋体"/>
          <w:sz w:val="24"/>
          <w:szCs w:val="24"/>
          <w:lang w:val="en-US" w:eastAsia="zh-CN"/>
        </w:rPr>
        <w:t>展会</w:t>
      </w:r>
      <w:r>
        <w:rPr>
          <w:rFonts w:hint="eastAsia" w:ascii="宋体" w:hAnsi="宋体" w:cs="新宋体"/>
          <w:sz w:val="24"/>
          <w:szCs w:val="24"/>
        </w:rPr>
        <w:t>关于音量的控制规定，在展览期间指定专人负责音量控制，扬声器音量控制在60分贝以下，并在设计、搭建时将扬声器朝向展位内部；如违反相关规定，我单位愿意接受</w:t>
      </w:r>
      <w:r>
        <w:rPr>
          <w:rFonts w:hint="eastAsia" w:ascii="宋体" w:hAnsi="宋体" w:cs="新宋体"/>
          <w:sz w:val="24"/>
          <w:szCs w:val="24"/>
          <w:lang w:val="en-US" w:eastAsia="zh-CN"/>
        </w:rPr>
        <w:t>绿色建筑展</w:t>
      </w:r>
      <w:r>
        <w:rPr>
          <w:rFonts w:hint="eastAsia" w:ascii="宋体" w:hAnsi="宋体" w:cs="新宋体"/>
          <w:sz w:val="24"/>
          <w:szCs w:val="24"/>
        </w:rPr>
        <w:t>组委会的相关处置；</w:t>
      </w:r>
    </w:p>
    <w:p>
      <w:pPr>
        <w:pStyle w:val="41"/>
        <w:ind w:left="780" w:leftChars="200" w:hanging="360" w:hangingChars="150"/>
        <w:rPr>
          <w:rFonts w:ascii="宋体" w:hAnsi="宋体" w:cs="新宋体"/>
          <w:sz w:val="24"/>
          <w:szCs w:val="24"/>
        </w:rPr>
      </w:pPr>
      <w:r>
        <w:rPr>
          <w:rFonts w:hint="eastAsia" w:ascii="宋体" w:hAnsi="宋体" w:cs="新宋体"/>
          <w:sz w:val="24"/>
          <w:szCs w:val="24"/>
        </w:rPr>
        <w:t>5）</w:t>
      </w:r>
      <w:r>
        <w:rPr>
          <w:rFonts w:hint="eastAsia" w:ascii="宋体" w:hAnsi="宋体" w:cs="新宋体"/>
          <w:sz w:val="24"/>
          <w:szCs w:val="24"/>
        </w:rPr>
        <w:tab/>
      </w:r>
      <w:r>
        <w:rPr>
          <w:rFonts w:hint="eastAsia" w:ascii="宋体" w:hAnsi="宋体" w:cs="新宋体"/>
          <w:sz w:val="24"/>
          <w:szCs w:val="24"/>
        </w:rPr>
        <w:t>严格遵守</w:t>
      </w:r>
      <w:r>
        <w:rPr>
          <w:rFonts w:hint="eastAsia" w:ascii="宋体" w:hAnsi="宋体" w:cs="新宋体"/>
          <w:sz w:val="24"/>
          <w:szCs w:val="24"/>
          <w:lang w:val="en-US" w:eastAsia="zh-CN"/>
        </w:rPr>
        <w:t>绿色建筑展</w:t>
      </w:r>
      <w:r>
        <w:rPr>
          <w:rFonts w:hint="eastAsia" w:ascii="宋体" w:hAnsi="宋体" w:cs="新宋体"/>
          <w:sz w:val="24"/>
          <w:szCs w:val="24"/>
        </w:rPr>
        <w:t>关于布撤展的相关规定，按规定时间布撤展，维护大会整体形象。</w:t>
      </w:r>
    </w:p>
    <w:p>
      <w:pPr>
        <w:pStyle w:val="41"/>
        <w:ind w:left="780" w:leftChars="200" w:hanging="360" w:hangingChars="150"/>
        <w:rPr>
          <w:rFonts w:ascii="宋体" w:hAnsi="宋体" w:cs="新宋体"/>
          <w:sz w:val="24"/>
          <w:szCs w:val="24"/>
        </w:rPr>
      </w:pPr>
      <w:r>
        <w:rPr>
          <w:rFonts w:hint="eastAsia" w:ascii="宋体" w:hAnsi="宋体" w:cs="新宋体"/>
          <w:sz w:val="24"/>
          <w:szCs w:val="24"/>
        </w:rPr>
        <w:t>6）严格遵守</w:t>
      </w:r>
      <w:r>
        <w:rPr>
          <w:rFonts w:hint="eastAsia" w:ascii="宋体" w:hAnsi="宋体" w:cs="新宋体"/>
          <w:sz w:val="24"/>
          <w:szCs w:val="24"/>
          <w:lang w:val="en-US" w:eastAsia="zh-CN"/>
        </w:rPr>
        <w:t>展会</w:t>
      </w:r>
      <w:r>
        <w:rPr>
          <w:rFonts w:hint="eastAsia" w:ascii="宋体" w:hAnsi="宋体" w:cs="新宋体"/>
          <w:sz w:val="24"/>
          <w:szCs w:val="24"/>
        </w:rPr>
        <w:t>关于展品补货的相关规定，补货前办理相关手续，按规定时段和规定出入口实施补货。</w:t>
      </w:r>
    </w:p>
    <w:p>
      <w:pPr>
        <w:pStyle w:val="41"/>
        <w:ind w:firstLineChars="0"/>
        <w:rPr>
          <w:rFonts w:ascii="宋体" w:hAnsi="宋体" w:cs="新宋体"/>
          <w:sz w:val="24"/>
          <w:szCs w:val="24"/>
        </w:rPr>
      </w:pPr>
      <w:r>
        <w:rPr>
          <w:rFonts w:hint="eastAsia" w:ascii="宋体" w:hAnsi="宋体" w:cs="新宋体"/>
          <w:sz w:val="24"/>
          <w:szCs w:val="24"/>
        </w:rPr>
        <w:t>特此承诺</w:t>
      </w:r>
    </w:p>
    <w:p>
      <w:pPr>
        <w:rPr>
          <w:rFonts w:ascii="宋体" w:hAnsi="宋体" w:cs="新宋体"/>
          <w:sz w:val="24"/>
          <w:szCs w:val="24"/>
        </w:rPr>
      </w:pPr>
      <w:r>
        <w:rPr>
          <w:rFonts w:hint="eastAsia" w:ascii="宋体" w:hAnsi="宋体" w:cs="新宋体"/>
          <w:szCs w:val="21"/>
        </w:rPr>
        <w:t xml:space="preserve">                                               </w:t>
      </w:r>
      <w:r>
        <w:rPr>
          <w:rFonts w:hint="eastAsia" w:ascii="宋体" w:hAnsi="宋体" w:cs="新宋体"/>
          <w:sz w:val="24"/>
          <w:szCs w:val="24"/>
        </w:rPr>
        <w:t xml:space="preserve"> 参展单位（盖章）：</w:t>
      </w:r>
    </w:p>
    <w:p>
      <w:pPr>
        <w:rPr>
          <w:rFonts w:ascii="宋体" w:hAnsi="宋体" w:cs="新宋体"/>
          <w:sz w:val="24"/>
          <w:szCs w:val="24"/>
        </w:rPr>
      </w:pPr>
      <w:r>
        <w:rPr>
          <w:rFonts w:hint="eastAsia" w:ascii="宋体" w:hAnsi="宋体" w:cs="新宋体"/>
          <w:sz w:val="24"/>
          <w:szCs w:val="24"/>
        </w:rPr>
        <w:t xml:space="preserve">                                          参展负责人：</w:t>
      </w:r>
    </w:p>
    <w:p>
      <w:pPr>
        <w:rPr>
          <w:rFonts w:ascii="宋体" w:hAnsi="宋体" w:cs="新宋体"/>
          <w:sz w:val="24"/>
          <w:szCs w:val="24"/>
        </w:rPr>
      </w:pPr>
      <w:r>
        <w:rPr>
          <w:rFonts w:hint="eastAsia" w:ascii="宋体" w:hAnsi="宋体" w:cs="新宋体"/>
          <w:sz w:val="24"/>
          <w:szCs w:val="24"/>
        </w:rPr>
        <w:t xml:space="preserve">                                          现场联系电话：</w:t>
      </w:r>
    </w:p>
    <w:p>
      <w:pPr>
        <w:rPr>
          <w:rFonts w:hint="eastAsia" w:ascii="宋体" w:hAnsi="宋体" w:cs="新宋体"/>
          <w:sz w:val="24"/>
          <w:szCs w:val="24"/>
        </w:rPr>
      </w:pPr>
      <w:r>
        <w:rPr>
          <w:rFonts w:hint="eastAsia" w:ascii="宋体" w:hAnsi="宋体" w:cs="新宋体"/>
          <w:sz w:val="24"/>
          <w:szCs w:val="24"/>
        </w:rPr>
        <w:t xml:space="preserve">                                          201</w:t>
      </w:r>
      <w:r>
        <w:rPr>
          <w:rFonts w:hint="eastAsia" w:ascii="宋体" w:hAnsi="宋体" w:cs="新宋体"/>
          <w:sz w:val="24"/>
          <w:szCs w:val="24"/>
          <w:lang w:val="en-US" w:eastAsia="zh-CN"/>
        </w:rPr>
        <w:t>9</w:t>
      </w:r>
      <w:r>
        <w:rPr>
          <w:rFonts w:hint="eastAsia" w:ascii="宋体" w:hAnsi="宋体" w:cs="新宋体"/>
          <w:sz w:val="24"/>
          <w:szCs w:val="24"/>
        </w:rPr>
        <w:t>年    月    日</w:t>
      </w:r>
    </w:p>
    <w:p>
      <w:pPr>
        <w:autoSpaceDE w:val="0"/>
        <w:autoSpaceDN w:val="0"/>
        <w:adjustRightInd w:val="0"/>
        <w:spacing w:line="240" w:lineRule="auto"/>
        <w:ind w:right="-20"/>
        <w:rPr>
          <w:rFonts w:hint="eastAsia" w:ascii="宋体" w:hAnsi="宋体" w:cs="新宋体"/>
          <w:sz w:val="24"/>
          <w:szCs w:val="24"/>
        </w:rPr>
      </w:pPr>
    </w:p>
    <w:p>
      <w:pPr>
        <w:autoSpaceDE w:val="0"/>
        <w:autoSpaceDN w:val="0"/>
        <w:adjustRightInd w:val="0"/>
        <w:spacing w:line="240" w:lineRule="auto"/>
        <w:ind w:right="-20"/>
        <w:rPr>
          <w:rFonts w:hint="eastAsia" w:ascii="宋体" w:hAnsi="宋体" w:cs="新宋体"/>
          <w:sz w:val="24"/>
          <w:szCs w:val="24"/>
        </w:rPr>
      </w:pPr>
      <w:r>
        <w:rPr>
          <w:rFonts w:hint="eastAsia" w:ascii="宋体" w:hAnsi="宋体" w:cs="新宋体"/>
          <w:sz w:val="24"/>
          <w:szCs w:val="24"/>
        </w:rPr>
        <w:t>2.</w:t>
      </w:r>
      <w:r>
        <w:rPr>
          <w:rFonts w:hint="eastAsia" w:ascii="宋体" w:hAnsi="宋体" w:cs="新宋体"/>
          <w:sz w:val="24"/>
          <w:szCs w:val="24"/>
          <w:lang w:val="en-US" w:eastAsia="zh-CN"/>
        </w:rPr>
        <w:t>3</w:t>
      </w:r>
      <w:r>
        <w:rPr>
          <w:rFonts w:hint="eastAsia" w:ascii="宋体" w:hAnsi="宋体" w:cs="新宋体"/>
          <w:sz w:val="24"/>
          <w:szCs w:val="24"/>
        </w:rPr>
        <w:t xml:space="preserve"> 净地搭建结构安全、消防安全、施工安全、卫生清洁承诺书</w:t>
      </w:r>
    </w:p>
    <w:p>
      <w:pPr>
        <w:autoSpaceDE w:val="0"/>
        <w:autoSpaceDN w:val="0"/>
        <w:adjustRightInd w:val="0"/>
        <w:spacing w:line="240" w:lineRule="auto"/>
        <w:ind w:right="-20"/>
        <w:rPr>
          <w:rFonts w:ascii="宋体" w:hAnsi="宋体" w:cs="新宋体"/>
          <w:sz w:val="24"/>
          <w:szCs w:val="24"/>
        </w:rPr>
      </w:pPr>
    </w:p>
    <w:p>
      <w:pPr>
        <w:pStyle w:val="52"/>
        <w:spacing w:line="500" w:lineRule="atLeast"/>
        <w:jc w:val="center"/>
        <w:rPr>
          <w:rStyle w:val="59"/>
          <w:rFonts w:hint="eastAsia" w:ascii="宋体" w:hAnsi="宋体" w:eastAsia="宋体" w:cs="新宋体"/>
          <w:color w:val="auto"/>
          <w:lang w:val="en-US" w:eastAsia="zh-CN"/>
        </w:rPr>
      </w:pPr>
      <w:r>
        <w:rPr>
          <w:rStyle w:val="59"/>
          <w:rFonts w:hint="eastAsia" w:ascii="宋体" w:hAnsi="宋体" w:eastAsia="宋体" w:cs="新宋体"/>
          <w:color w:val="auto"/>
          <w:lang w:val="en-US" w:eastAsia="zh-CN"/>
        </w:rPr>
        <w:t>2019第三届中国（厦门）国际绿色建筑产业博览会福建-地坪展</w:t>
      </w:r>
    </w:p>
    <w:p>
      <w:pPr>
        <w:pStyle w:val="52"/>
        <w:spacing w:line="500" w:lineRule="atLeast"/>
        <w:jc w:val="center"/>
        <w:rPr>
          <w:rStyle w:val="59"/>
          <w:rFonts w:ascii="宋体" w:hAnsi="宋体" w:eastAsia="宋体" w:cs="新宋体"/>
          <w:color w:val="auto"/>
        </w:rPr>
      </w:pPr>
      <w:r>
        <w:rPr>
          <w:rStyle w:val="59"/>
          <w:rFonts w:hint="eastAsia" w:ascii="宋体" w:hAnsi="宋体" w:eastAsia="宋体" w:cs="新宋体"/>
          <w:color w:val="auto"/>
        </w:rPr>
        <w:t>净地展位搭建结构安全、消防安全、施工安全、卫生清洁承诺书</w:t>
      </w:r>
    </w:p>
    <w:p>
      <w:pPr>
        <w:pStyle w:val="26"/>
        <w:rPr>
          <w:rFonts w:ascii="宋体" w:hAnsi="宋体" w:eastAsia="宋体"/>
        </w:rPr>
      </w:pPr>
    </w:p>
    <w:p>
      <w:pPr>
        <w:pStyle w:val="26"/>
        <w:rPr>
          <w:rFonts w:ascii="宋体" w:hAnsi="宋体" w:eastAsia="宋体"/>
        </w:rPr>
      </w:pPr>
    </w:p>
    <w:p>
      <w:pPr>
        <w:pStyle w:val="41"/>
        <w:ind w:firstLine="480"/>
        <w:jc w:val="left"/>
        <w:rPr>
          <w:rFonts w:ascii="宋体" w:hAnsi="宋体" w:cs="新宋体"/>
          <w:sz w:val="24"/>
          <w:szCs w:val="24"/>
        </w:rPr>
      </w:pPr>
      <w:r>
        <w:rPr>
          <w:rFonts w:hint="eastAsia" w:ascii="宋体" w:hAnsi="宋体" w:cs="新宋体"/>
          <w:sz w:val="24"/>
          <w:szCs w:val="24"/>
        </w:rPr>
        <w:t>本单位系2019第三届中国（厦门）国际绿色建筑产业博览会</w:t>
      </w:r>
      <w:r>
        <w:rPr>
          <w:rFonts w:hint="eastAsia" w:ascii="宋体" w:hAnsi="宋体" w:cs="新宋体"/>
          <w:sz w:val="24"/>
          <w:szCs w:val="24"/>
          <w:u w:val="single"/>
        </w:rPr>
        <w:t xml:space="preserve"> 福建-地坪展       </w:t>
      </w:r>
      <w:r>
        <w:rPr>
          <w:rFonts w:hint="eastAsia" w:ascii="宋体" w:hAnsi="宋体" w:cs="新宋体"/>
          <w:sz w:val="24"/>
          <w:szCs w:val="24"/>
        </w:rPr>
        <w:t>号馆</w:t>
      </w:r>
      <w:r>
        <w:rPr>
          <w:rFonts w:hint="eastAsia" w:ascii="宋体" w:hAnsi="宋体" w:cs="新宋体"/>
          <w:sz w:val="24"/>
          <w:szCs w:val="24"/>
          <w:u w:val="single"/>
        </w:rPr>
        <w:t xml:space="preserve">        </w:t>
      </w:r>
      <w:r>
        <w:rPr>
          <w:rFonts w:hint="eastAsia" w:ascii="宋体" w:hAnsi="宋体" w:cs="新宋体"/>
          <w:sz w:val="24"/>
          <w:szCs w:val="24"/>
        </w:rPr>
        <w:t>展位的(搭建商/参展商)</w:t>
      </w:r>
      <w:r>
        <w:rPr>
          <w:rFonts w:hint="eastAsia" w:ascii="宋体" w:hAnsi="宋体" w:cs="新宋体"/>
          <w:sz w:val="24"/>
          <w:szCs w:val="24"/>
          <w:u w:val="single"/>
        </w:rPr>
        <w:t xml:space="preserve">                   </w:t>
      </w:r>
      <w:r>
        <w:rPr>
          <w:rFonts w:hint="eastAsia" w:ascii="宋体" w:hAnsi="宋体" w:cs="新宋体"/>
          <w:sz w:val="24"/>
          <w:szCs w:val="24"/>
        </w:rPr>
        <w:t>公司。我单位将严格认真执行《中华人民共和国消防法》、《大型群众性活动安全管理条例（国务院505号令）》、《安全生产法》、《厦门市展览展销活动消防安全管理暂行规定》等有关消防、安全工作规定，认真履行职责，落实各项切实有效措施，确保无安全隐患，不出安全事故。</w:t>
      </w:r>
    </w:p>
    <w:p>
      <w:pPr>
        <w:pStyle w:val="41"/>
        <w:ind w:firstLine="480"/>
        <w:jc w:val="left"/>
        <w:rPr>
          <w:rFonts w:ascii="宋体" w:hAnsi="宋体" w:cs="新宋体"/>
          <w:sz w:val="24"/>
          <w:szCs w:val="24"/>
        </w:rPr>
      </w:pPr>
      <w:r>
        <w:rPr>
          <w:rFonts w:hint="eastAsia" w:ascii="宋体" w:hAnsi="宋体" w:cs="新宋体"/>
          <w:sz w:val="24"/>
          <w:szCs w:val="24"/>
        </w:rPr>
        <w:t>我单位指定</w:t>
      </w:r>
      <w:r>
        <w:rPr>
          <w:rFonts w:hint="eastAsia" w:ascii="宋体" w:hAnsi="宋体" w:cs="新宋体"/>
          <w:sz w:val="24"/>
          <w:szCs w:val="24"/>
          <w:u w:val="single"/>
        </w:rPr>
        <w:t xml:space="preserve">            </w:t>
      </w:r>
      <w:r>
        <w:rPr>
          <w:rFonts w:hint="eastAsia" w:ascii="宋体" w:hAnsi="宋体" w:cs="新宋体"/>
          <w:sz w:val="24"/>
          <w:szCs w:val="24"/>
        </w:rPr>
        <w:t>为现场安全负责人，手机</w:t>
      </w:r>
      <w:r>
        <w:rPr>
          <w:rFonts w:hint="eastAsia" w:ascii="宋体" w:hAnsi="宋体" w:cs="新宋体"/>
          <w:sz w:val="24"/>
          <w:szCs w:val="24"/>
          <w:u w:val="single"/>
        </w:rPr>
        <w:t xml:space="preserve">                   </w:t>
      </w:r>
      <w:r>
        <w:rPr>
          <w:rFonts w:hint="eastAsia" w:ascii="宋体" w:hAnsi="宋体" w:cs="新宋体"/>
          <w:sz w:val="24"/>
          <w:szCs w:val="24"/>
        </w:rPr>
        <w:t>，全面负责现场安全管理工作，对本次大会承诺如下：</w:t>
      </w:r>
    </w:p>
    <w:p>
      <w:pPr>
        <w:pStyle w:val="41"/>
        <w:jc w:val="left"/>
        <w:rPr>
          <w:rFonts w:ascii="宋体" w:hAnsi="宋体" w:cs="新宋体"/>
          <w:szCs w:val="21"/>
        </w:rPr>
      </w:pPr>
    </w:p>
    <w:p>
      <w:pPr>
        <w:pStyle w:val="41"/>
        <w:ind w:firstLine="0" w:firstLineChars="0"/>
        <w:jc w:val="left"/>
        <w:outlineLvl w:val="0"/>
        <w:rPr>
          <w:rFonts w:ascii="宋体" w:hAnsi="宋体" w:cs="新宋体"/>
          <w:sz w:val="24"/>
          <w:szCs w:val="24"/>
        </w:rPr>
      </w:pPr>
      <w:r>
        <w:rPr>
          <w:rFonts w:hint="eastAsia" w:ascii="宋体" w:hAnsi="宋体" w:cs="新宋体"/>
          <w:sz w:val="24"/>
          <w:szCs w:val="24"/>
        </w:rPr>
        <w:t>一、结构安全</w:t>
      </w:r>
    </w:p>
    <w:p>
      <w:pPr>
        <w:pStyle w:val="41"/>
        <w:numPr>
          <w:ilvl w:val="0"/>
          <w:numId w:val="9"/>
        </w:numPr>
        <w:ind w:left="0" w:firstLine="0" w:firstLineChars="0"/>
        <w:jc w:val="left"/>
        <w:rPr>
          <w:rFonts w:ascii="宋体" w:hAnsi="宋体" w:cs="新宋体"/>
          <w:sz w:val="24"/>
          <w:szCs w:val="24"/>
        </w:rPr>
      </w:pPr>
      <w:r>
        <w:rPr>
          <w:rFonts w:hint="eastAsia" w:ascii="宋体" w:hAnsi="宋体" w:cs="新宋体"/>
          <w:sz w:val="24"/>
          <w:szCs w:val="24"/>
        </w:rPr>
        <w:t>严格遵守2019第三届中国（厦门）国际绿色建筑产业博览会福建-地坪展净地展位布展施工管理要求及细则；</w:t>
      </w:r>
    </w:p>
    <w:p>
      <w:pPr>
        <w:pStyle w:val="41"/>
        <w:numPr>
          <w:ilvl w:val="0"/>
          <w:numId w:val="9"/>
        </w:numPr>
        <w:ind w:left="0" w:firstLine="0" w:firstLineChars="0"/>
        <w:jc w:val="left"/>
        <w:rPr>
          <w:rFonts w:hint="eastAsia" w:ascii="宋体" w:hAnsi="宋体" w:cs="新宋体"/>
          <w:sz w:val="24"/>
          <w:szCs w:val="24"/>
        </w:rPr>
      </w:pPr>
      <w:r>
        <w:rPr>
          <w:rFonts w:hint="eastAsia" w:ascii="宋体" w:hAnsi="宋体" w:cs="宋体"/>
          <w:sz w:val="24"/>
          <w:szCs w:val="24"/>
        </w:rPr>
        <w:t>严格遵守</w:t>
      </w:r>
      <w:r>
        <w:rPr>
          <w:rFonts w:hint="eastAsia" w:ascii="宋体" w:hAnsi="宋体" w:cs="宋体"/>
          <w:sz w:val="24"/>
          <w:szCs w:val="24"/>
          <w:lang w:val="en-US" w:eastAsia="zh-CN"/>
        </w:rPr>
        <w:t>特装</w:t>
      </w:r>
      <w:r>
        <w:rPr>
          <w:rFonts w:hint="eastAsia" w:ascii="宋体" w:hAnsi="宋体" w:cs="新宋体"/>
          <w:sz w:val="24"/>
          <w:szCs w:val="24"/>
          <w:highlight w:val="none"/>
          <w:lang w:val="en-US" w:eastAsia="zh-CN"/>
        </w:rPr>
        <w:t>展位限高5米</w:t>
      </w:r>
      <w:r>
        <w:rPr>
          <w:rFonts w:hint="eastAsia" w:ascii="宋体" w:hAnsi="宋体" w:cs="新宋体"/>
          <w:sz w:val="24"/>
          <w:szCs w:val="24"/>
        </w:rPr>
        <w:t>；严格按报馆审核通过图纸施工搭建；不超线搭</w:t>
      </w:r>
    </w:p>
    <w:p>
      <w:pPr>
        <w:pStyle w:val="41"/>
        <w:ind w:firstLine="360" w:firstLineChars="150"/>
        <w:jc w:val="left"/>
        <w:rPr>
          <w:rFonts w:ascii="宋体" w:hAnsi="宋体" w:cs="新宋体"/>
          <w:sz w:val="24"/>
          <w:szCs w:val="24"/>
        </w:rPr>
      </w:pPr>
      <w:r>
        <w:rPr>
          <w:rFonts w:hint="eastAsia" w:ascii="宋体" w:hAnsi="宋体" w:cs="新宋体"/>
          <w:sz w:val="24"/>
          <w:szCs w:val="24"/>
        </w:rPr>
        <w:t>建展台，</w:t>
      </w:r>
      <w:r>
        <w:rPr>
          <w:rFonts w:hint="eastAsia" w:ascii="宋体" w:hAnsi="宋体" w:cs="宋体"/>
          <w:sz w:val="24"/>
          <w:szCs w:val="24"/>
        </w:rPr>
        <w:t>不跨通道搭建、不吊点等大会管理规定；</w:t>
      </w:r>
    </w:p>
    <w:p>
      <w:pPr>
        <w:pStyle w:val="29"/>
        <w:numPr>
          <w:ilvl w:val="0"/>
          <w:numId w:val="9"/>
        </w:numPr>
        <w:ind w:left="0" w:firstLine="0" w:firstLineChars="0"/>
        <w:jc w:val="left"/>
        <w:rPr>
          <w:rStyle w:val="76"/>
          <w:rFonts w:hint="eastAsia" w:ascii="宋体" w:hAnsi="宋体" w:eastAsia="宋体"/>
          <w:color w:val="auto"/>
          <w:sz w:val="24"/>
          <w:szCs w:val="24"/>
        </w:rPr>
      </w:pPr>
      <w:r>
        <w:rPr>
          <w:rFonts w:hint="eastAsia" w:ascii="宋体" w:hAnsi="宋体" w:cs="宋体"/>
          <w:sz w:val="24"/>
          <w:szCs w:val="24"/>
        </w:rPr>
        <w:t>展台结构牢固、安全，墙体及横梁中间加有钢结构连接、固定。</w:t>
      </w:r>
      <w:r>
        <w:rPr>
          <w:rStyle w:val="76"/>
          <w:rFonts w:hint="eastAsia" w:ascii="宋体" w:hAnsi="宋体" w:eastAsia="宋体"/>
          <w:color w:val="auto"/>
          <w:sz w:val="24"/>
          <w:szCs w:val="24"/>
        </w:rPr>
        <w:t>展台所涉及的结构</w:t>
      </w:r>
    </w:p>
    <w:p>
      <w:pPr>
        <w:pStyle w:val="29"/>
        <w:ind w:left="359" w:leftChars="171" w:firstLine="0" w:firstLineChars="0"/>
        <w:jc w:val="left"/>
        <w:rPr>
          <w:rStyle w:val="76"/>
          <w:rFonts w:ascii="宋体" w:hAnsi="宋体" w:eastAsia="宋体"/>
          <w:color w:val="auto"/>
          <w:sz w:val="24"/>
          <w:szCs w:val="24"/>
        </w:rPr>
      </w:pPr>
      <w:r>
        <w:rPr>
          <w:rStyle w:val="76"/>
          <w:rFonts w:hint="eastAsia" w:ascii="宋体" w:hAnsi="宋体" w:eastAsia="宋体"/>
          <w:color w:val="auto"/>
          <w:sz w:val="24"/>
          <w:szCs w:val="24"/>
        </w:rPr>
        <w:t>强度能满足荷载所需的强度，确保展台结构的强度、稳定性；展台所加钢管立柱直径、壁厚、防滑落底盘在现场实际情况可承受范围，但不低于（直径</w:t>
      </w:r>
      <w:r>
        <w:rPr>
          <w:rStyle w:val="76"/>
          <w:rFonts w:ascii="宋体" w:hAnsi="宋体" w:eastAsia="宋体"/>
          <w:color w:val="auto"/>
          <w:sz w:val="24"/>
          <w:szCs w:val="24"/>
        </w:rPr>
        <w:t>100MM</w:t>
      </w:r>
      <w:r>
        <w:rPr>
          <w:rStyle w:val="76"/>
          <w:rFonts w:hint="eastAsia" w:ascii="宋体" w:hAnsi="宋体" w:eastAsia="宋体"/>
          <w:color w:val="auto"/>
          <w:sz w:val="24"/>
          <w:szCs w:val="24"/>
        </w:rPr>
        <w:t>，壁厚</w:t>
      </w:r>
      <w:r>
        <w:rPr>
          <w:rStyle w:val="76"/>
          <w:rFonts w:ascii="宋体" w:hAnsi="宋体" w:eastAsia="宋体"/>
          <w:color w:val="auto"/>
          <w:sz w:val="24"/>
          <w:szCs w:val="24"/>
        </w:rPr>
        <w:t>2MM</w:t>
      </w:r>
      <w:r>
        <w:rPr>
          <w:rStyle w:val="76"/>
          <w:rFonts w:hint="eastAsia" w:ascii="宋体" w:hAnsi="宋体" w:eastAsia="宋体"/>
          <w:color w:val="auto"/>
          <w:sz w:val="24"/>
          <w:szCs w:val="24"/>
        </w:rPr>
        <w:t>，底盘直径</w:t>
      </w:r>
      <w:r>
        <w:rPr>
          <w:rStyle w:val="76"/>
          <w:rFonts w:ascii="宋体" w:hAnsi="宋体" w:eastAsia="宋体"/>
          <w:color w:val="auto"/>
          <w:sz w:val="24"/>
          <w:szCs w:val="24"/>
        </w:rPr>
        <w:t>600MM)</w:t>
      </w:r>
      <w:r>
        <w:rPr>
          <w:rStyle w:val="76"/>
          <w:rFonts w:hint="eastAsia" w:ascii="宋体" w:hAnsi="宋体" w:eastAsia="宋体"/>
          <w:color w:val="auto"/>
          <w:sz w:val="24"/>
          <w:szCs w:val="24"/>
        </w:rPr>
        <w:t>；</w:t>
      </w:r>
    </w:p>
    <w:p>
      <w:pPr>
        <w:pStyle w:val="29"/>
        <w:numPr>
          <w:ilvl w:val="0"/>
          <w:numId w:val="9"/>
        </w:numPr>
        <w:ind w:left="0" w:firstLine="0" w:firstLineChars="0"/>
        <w:jc w:val="left"/>
        <w:rPr>
          <w:rStyle w:val="76"/>
          <w:rFonts w:hint="eastAsia" w:ascii="宋体" w:hAnsi="宋体" w:eastAsia="宋体"/>
          <w:color w:val="auto"/>
          <w:sz w:val="24"/>
          <w:szCs w:val="24"/>
        </w:rPr>
      </w:pPr>
      <w:r>
        <w:rPr>
          <w:rStyle w:val="76"/>
          <w:rFonts w:hint="eastAsia" w:ascii="宋体" w:hAnsi="宋体" w:eastAsia="宋体"/>
          <w:color w:val="auto"/>
          <w:sz w:val="24"/>
          <w:szCs w:val="24"/>
        </w:rPr>
        <w:t xml:space="preserve">展台结构主体墙落地厚度不小于150MM，特殊造型墙体根据需要加大厚度，确保墙 </w:t>
      </w:r>
    </w:p>
    <w:p>
      <w:pPr>
        <w:pStyle w:val="29"/>
        <w:ind w:firstLine="360" w:firstLineChars="150"/>
        <w:jc w:val="left"/>
        <w:rPr>
          <w:rStyle w:val="76"/>
          <w:rFonts w:ascii="宋体" w:hAnsi="宋体" w:eastAsia="宋体"/>
          <w:color w:val="auto"/>
          <w:sz w:val="24"/>
          <w:szCs w:val="24"/>
        </w:rPr>
      </w:pPr>
      <w:r>
        <w:rPr>
          <w:rStyle w:val="76"/>
          <w:rFonts w:hint="eastAsia" w:ascii="宋体" w:hAnsi="宋体" w:eastAsia="宋体"/>
          <w:color w:val="auto"/>
          <w:sz w:val="24"/>
          <w:szCs w:val="24"/>
        </w:rPr>
        <w:t>体和地面的接触面积；现场接受主场服务安全人员的整改意见；</w:t>
      </w:r>
    </w:p>
    <w:p>
      <w:pPr>
        <w:pStyle w:val="41"/>
        <w:numPr>
          <w:ilvl w:val="0"/>
          <w:numId w:val="9"/>
        </w:numPr>
        <w:ind w:left="0" w:firstLine="0" w:firstLineChars="0"/>
        <w:jc w:val="left"/>
        <w:rPr>
          <w:rStyle w:val="76"/>
          <w:rFonts w:hint="eastAsia" w:ascii="宋体" w:hAnsi="宋体" w:eastAsia="宋体" w:cs="新宋体"/>
          <w:color w:val="auto"/>
          <w:sz w:val="24"/>
          <w:szCs w:val="24"/>
        </w:rPr>
      </w:pPr>
      <w:r>
        <w:rPr>
          <w:rStyle w:val="76"/>
          <w:rFonts w:hint="eastAsia" w:ascii="宋体" w:hAnsi="宋体" w:eastAsia="宋体"/>
          <w:color w:val="auto"/>
          <w:sz w:val="24"/>
          <w:szCs w:val="24"/>
        </w:rPr>
        <w:t>所有顶部加设横梁连接的展位，结构强度能满足荷载所需强度。横梁将采用钢结构</w:t>
      </w:r>
    </w:p>
    <w:p>
      <w:pPr>
        <w:pStyle w:val="41"/>
        <w:ind w:left="359" w:leftChars="171" w:firstLine="0" w:firstLineChars="0"/>
        <w:jc w:val="left"/>
        <w:rPr>
          <w:rStyle w:val="76"/>
          <w:rFonts w:ascii="宋体" w:hAnsi="宋体" w:eastAsia="宋体" w:cs="新宋体"/>
          <w:color w:val="auto"/>
          <w:sz w:val="24"/>
          <w:szCs w:val="24"/>
        </w:rPr>
      </w:pPr>
      <w:r>
        <w:rPr>
          <w:rStyle w:val="76"/>
          <w:rFonts w:hint="eastAsia" w:ascii="宋体" w:hAnsi="宋体" w:eastAsia="宋体"/>
          <w:color w:val="auto"/>
          <w:sz w:val="24"/>
          <w:szCs w:val="24"/>
        </w:rPr>
        <w:t>并连接牢固，主梁连接使用不低于4.8级螺栓（螺栓连接使用平垫、弹簧垫）连接、铆接或预制焊接，不使用铅丝、铁丝、钢丝等搭接、捆绑等连接方式；</w:t>
      </w:r>
    </w:p>
    <w:p>
      <w:pPr>
        <w:pStyle w:val="29"/>
        <w:numPr>
          <w:ilvl w:val="0"/>
          <w:numId w:val="9"/>
        </w:numPr>
        <w:ind w:left="0" w:firstLine="0" w:firstLineChars="0"/>
        <w:jc w:val="left"/>
        <w:rPr>
          <w:rStyle w:val="76"/>
          <w:rFonts w:hint="eastAsia" w:ascii="宋体" w:hAnsi="宋体" w:eastAsia="宋体"/>
          <w:color w:val="auto"/>
          <w:sz w:val="24"/>
          <w:szCs w:val="24"/>
        </w:rPr>
      </w:pPr>
      <w:r>
        <w:rPr>
          <w:rStyle w:val="76"/>
          <w:rFonts w:hint="eastAsia" w:ascii="宋体" w:hAnsi="宋体" w:eastAsia="宋体"/>
          <w:color w:val="auto"/>
          <w:sz w:val="24"/>
          <w:szCs w:val="24"/>
        </w:rPr>
        <w:t>所有顶部加设横梁连接的展位，横梁与墙体的连接方式不使用平接，而采用搭接的</w:t>
      </w:r>
    </w:p>
    <w:p>
      <w:pPr>
        <w:pStyle w:val="29"/>
        <w:ind w:firstLine="360" w:firstLineChars="150"/>
        <w:jc w:val="left"/>
        <w:rPr>
          <w:rStyle w:val="76"/>
          <w:rFonts w:ascii="宋体" w:hAnsi="宋体" w:eastAsia="宋体"/>
          <w:color w:val="auto"/>
          <w:sz w:val="24"/>
          <w:szCs w:val="24"/>
        </w:rPr>
      </w:pPr>
      <w:r>
        <w:rPr>
          <w:rStyle w:val="76"/>
          <w:rFonts w:hint="eastAsia" w:ascii="宋体" w:hAnsi="宋体" w:eastAsia="宋体"/>
          <w:color w:val="auto"/>
          <w:sz w:val="24"/>
          <w:szCs w:val="24"/>
        </w:rPr>
        <w:t>方式以确保横梁的安全稳定性；</w:t>
      </w:r>
    </w:p>
    <w:p>
      <w:pPr>
        <w:pStyle w:val="29"/>
        <w:numPr>
          <w:ilvl w:val="0"/>
          <w:numId w:val="9"/>
        </w:numPr>
        <w:ind w:left="0" w:firstLine="0" w:firstLineChars="0"/>
        <w:jc w:val="left"/>
        <w:rPr>
          <w:rStyle w:val="76"/>
          <w:rFonts w:hint="eastAsia" w:ascii="宋体" w:hAnsi="宋体" w:eastAsia="宋体"/>
          <w:color w:val="auto"/>
          <w:sz w:val="24"/>
          <w:szCs w:val="24"/>
        </w:rPr>
      </w:pPr>
      <w:r>
        <w:rPr>
          <w:rStyle w:val="76"/>
          <w:rFonts w:hint="eastAsia" w:ascii="宋体" w:hAnsi="宋体" w:eastAsia="宋体"/>
          <w:color w:val="auto"/>
          <w:sz w:val="24"/>
          <w:szCs w:val="24"/>
        </w:rPr>
        <w:t>展台搭建材料保证不使用劣质材料或未达标材料（根据现场施工安全检查为准，如</w:t>
      </w:r>
    </w:p>
    <w:p>
      <w:pPr>
        <w:pStyle w:val="29"/>
        <w:ind w:firstLine="480"/>
        <w:jc w:val="left"/>
        <w:rPr>
          <w:rStyle w:val="76"/>
          <w:rFonts w:ascii="宋体" w:hAnsi="宋体" w:eastAsia="宋体"/>
          <w:color w:val="auto"/>
          <w:sz w:val="24"/>
          <w:szCs w:val="24"/>
        </w:rPr>
      </w:pPr>
      <w:r>
        <w:rPr>
          <w:rStyle w:val="76"/>
          <w:rFonts w:hint="eastAsia" w:ascii="宋体" w:hAnsi="宋体" w:eastAsia="宋体"/>
          <w:color w:val="auto"/>
          <w:sz w:val="24"/>
          <w:szCs w:val="24"/>
        </w:rPr>
        <w:t>检查未达标或劣质材料我方无条件整改）；</w:t>
      </w:r>
    </w:p>
    <w:p>
      <w:pPr>
        <w:pStyle w:val="29"/>
        <w:numPr>
          <w:ilvl w:val="0"/>
          <w:numId w:val="9"/>
        </w:numPr>
        <w:ind w:left="0" w:firstLine="0" w:firstLineChars="0"/>
        <w:jc w:val="left"/>
        <w:rPr>
          <w:rStyle w:val="76"/>
          <w:rFonts w:hint="eastAsia" w:ascii="宋体" w:hAnsi="宋体" w:eastAsia="宋体"/>
          <w:color w:val="auto"/>
          <w:sz w:val="24"/>
          <w:szCs w:val="24"/>
        </w:rPr>
      </w:pPr>
      <w:r>
        <w:rPr>
          <w:rStyle w:val="76"/>
          <w:rFonts w:hint="eastAsia" w:ascii="宋体" w:hAnsi="宋体" w:eastAsia="宋体"/>
          <w:color w:val="auto"/>
          <w:sz w:val="24"/>
          <w:szCs w:val="24"/>
        </w:rPr>
        <w:t>展台使用地台包含玻璃地台时，则结构支撑立柱、墙体固定于地台下方，不直接在</w:t>
      </w:r>
    </w:p>
    <w:p>
      <w:pPr>
        <w:pStyle w:val="29"/>
        <w:ind w:left="359" w:leftChars="171" w:firstLine="0" w:firstLineChars="0"/>
        <w:jc w:val="left"/>
        <w:rPr>
          <w:rStyle w:val="76"/>
          <w:rFonts w:ascii="宋体" w:hAnsi="宋体" w:eastAsia="宋体"/>
          <w:color w:val="auto"/>
          <w:sz w:val="24"/>
          <w:szCs w:val="24"/>
        </w:rPr>
      </w:pPr>
      <w:r>
        <w:rPr>
          <w:rStyle w:val="76"/>
          <w:rFonts w:hint="eastAsia" w:ascii="宋体" w:hAnsi="宋体" w:eastAsia="宋体"/>
          <w:color w:val="auto"/>
          <w:sz w:val="24"/>
          <w:szCs w:val="24"/>
        </w:rPr>
        <w:t>光滑玻璃地台上方搭建展台结构，以确保结构稳定性。使用玻璃材质装饰展台时，采用钢化玻璃以保证玻璃的强度厚度（幕墙玻璃厚度不小于10MM），玻璃的安装采用专业五金件进行固定。安装完后粘贴明显防撞警示标识，以防破碎伤人；</w:t>
      </w:r>
    </w:p>
    <w:p>
      <w:pPr>
        <w:pStyle w:val="29"/>
        <w:numPr>
          <w:ilvl w:val="0"/>
          <w:numId w:val="9"/>
        </w:numPr>
        <w:ind w:left="0" w:firstLine="0" w:firstLineChars="0"/>
        <w:jc w:val="left"/>
        <w:rPr>
          <w:rFonts w:hint="eastAsia" w:ascii="宋体" w:hAnsi="宋体" w:cs="宋体"/>
          <w:sz w:val="24"/>
          <w:szCs w:val="24"/>
        </w:rPr>
      </w:pPr>
      <w:r>
        <w:rPr>
          <w:rFonts w:hint="eastAsia" w:ascii="宋体" w:hAnsi="宋体" w:cs="宋体"/>
          <w:sz w:val="24"/>
          <w:szCs w:val="24"/>
        </w:rPr>
        <w:t>保证现场搭建施工图与申报审核通过的图相符；如因现场结构安全与审核图纸发生</w:t>
      </w:r>
    </w:p>
    <w:p>
      <w:pPr>
        <w:pStyle w:val="29"/>
        <w:ind w:firstLine="360" w:firstLineChars="150"/>
        <w:jc w:val="left"/>
        <w:rPr>
          <w:rFonts w:ascii="宋体" w:hAnsi="宋体" w:cs="宋体"/>
          <w:sz w:val="24"/>
          <w:szCs w:val="24"/>
        </w:rPr>
      </w:pPr>
      <w:r>
        <w:rPr>
          <w:rFonts w:hint="eastAsia" w:ascii="宋体" w:hAnsi="宋体" w:cs="宋体"/>
          <w:sz w:val="24"/>
          <w:szCs w:val="24"/>
        </w:rPr>
        <w:t>冲突时，以主场服务商工作人员现场整改要求为准；</w:t>
      </w:r>
    </w:p>
    <w:p>
      <w:pPr>
        <w:pStyle w:val="9"/>
        <w:outlineLvl w:val="0"/>
        <w:rPr>
          <w:rFonts w:hAnsi="宋体" w:cs="宋体"/>
          <w:sz w:val="24"/>
          <w:szCs w:val="24"/>
        </w:rPr>
      </w:pPr>
      <w:r>
        <w:rPr>
          <w:rFonts w:hint="eastAsia" w:hAnsi="宋体" w:cs="宋体"/>
          <w:sz w:val="24"/>
          <w:szCs w:val="24"/>
        </w:rPr>
        <w:t>二、消防安全</w:t>
      </w:r>
    </w:p>
    <w:p>
      <w:pPr>
        <w:pStyle w:val="29"/>
        <w:numPr>
          <w:ilvl w:val="0"/>
          <w:numId w:val="10"/>
        </w:numPr>
        <w:ind w:left="0" w:firstLine="0" w:firstLineChars="0"/>
        <w:jc w:val="left"/>
        <w:rPr>
          <w:rFonts w:hint="eastAsia" w:ascii="宋体" w:hAnsi="宋体" w:cs="宋体"/>
          <w:sz w:val="24"/>
          <w:szCs w:val="24"/>
        </w:rPr>
      </w:pPr>
      <w:r>
        <w:rPr>
          <w:rFonts w:hint="eastAsia" w:ascii="宋体" w:hAnsi="宋体" w:cs="宋体"/>
          <w:sz w:val="24"/>
          <w:szCs w:val="24"/>
        </w:rPr>
        <w:t>我单位特装展位的设计、搭建有两个以上出入口，不占用消防通道、主通道。安全</w:t>
      </w:r>
    </w:p>
    <w:p>
      <w:pPr>
        <w:pStyle w:val="29"/>
        <w:ind w:left="359" w:leftChars="171" w:firstLine="0" w:firstLineChars="0"/>
        <w:jc w:val="left"/>
        <w:rPr>
          <w:rFonts w:ascii="宋体" w:hAnsi="宋体" w:cs="宋体"/>
          <w:sz w:val="24"/>
          <w:szCs w:val="24"/>
        </w:rPr>
      </w:pPr>
      <w:r>
        <w:rPr>
          <w:rFonts w:hint="eastAsia" w:ascii="宋体" w:hAnsi="宋体" w:cs="宋体"/>
          <w:sz w:val="24"/>
          <w:szCs w:val="24"/>
        </w:rPr>
        <w:t>出口处的展位设计为开放式，消防通道、货运门、消防安全门处不设计墙体、造型；以确保展位的通透性不遮挡安全出口；并粘贴好出入口指示、警示标志、禁烟标志；</w:t>
      </w:r>
    </w:p>
    <w:p>
      <w:pPr>
        <w:pStyle w:val="29"/>
        <w:numPr>
          <w:ilvl w:val="0"/>
          <w:numId w:val="10"/>
        </w:numPr>
        <w:ind w:left="0" w:firstLine="0" w:firstLineChars="0"/>
        <w:jc w:val="left"/>
        <w:rPr>
          <w:rFonts w:ascii="宋体" w:hAnsi="宋体" w:cs="宋体"/>
          <w:sz w:val="24"/>
          <w:szCs w:val="24"/>
        </w:rPr>
      </w:pPr>
      <w:r>
        <w:rPr>
          <w:rFonts w:hint="eastAsia" w:ascii="宋体" w:hAnsi="宋体" w:cs="宋体"/>
          <w:sz w:val="24"/>
          <w:szCs w:val="24"/>
        </w:rPr>
        <w:t>不堵塞消防通道、遮挡消防设施设备，馆内连接馆防火卷帘门下不堆放物品；</w:t>
      </w:r>
    </w:p>
    <w:p>
      <w:pPr>
        <w:pStyle w:val="29"/>
        <w:numPr>
          <w:ilvl w:val="0"/>
          <w:numId w:val="10"/>
        </w:numPr>
        <w:ind w:left="0" w:firstLine="0" w:firstLineChars="0"/>
        <w:jc w:val="left"/>
        <w:rPr>
          <w:rFonts w:hint="eastAsia" w:ascii="宋体" w:hAnsi="宋体" w:cs="宋体"/>
          <w:sz w:val="24"/>
          <w:szCs w:val="24"/>
        </w:rPr>
      </w:pPr>
      <w:r>
        <w:rPr>
          <w:rFonts w:hint="eastAsia" w:ascii="宋体" w:hAnsi="宋体" w:cs="宋体"/>
          <w:sz w:val="24"/>
          <w:szCs w:val="24"/>
        </w:rPr>
        <w:t>不私拉乱接电源，合理分配电器回路，各种用电设施及材料具有国家安全认证，按</w:t>
      </w:r>
    </w:p>
    <w:p>
      <w:pPr>
        <w:pStyle w:val="29"/>
        <w:ind w:firstLine="480"/>
        <w:jc w:val="left"/>
        <w:rPr>
          <w:rFonts w:ascii="宋体" w:hAnsi="宋体" w:cs="宋体"/>
          <w:sz w:val="24"/>
          <w:szCs w:val="24"/>
        </w:rPr>
      </w:pPr>
      <w:r>
        <w:rPr>
          <w:rFonts w:hint="eastAsia" w:ascii="宋体" w:hAnsi="宋体" w:cs="宋体"/>
          <w:sz w:val="24"/>
          <w:szCs w:val="24"/>
        </w:rPr>
        <w:t>照国家电气标准施工、安装和使用；</w:t>
      </w:r>
    </w:p>
    <w:p>
      <w:pPr>
        <w:pStyle w:val="29"/>
        <w:numPr>
          <w:ilvl w:val="0"/>
          <w:numId w:val="10"/>
        </w:numPr>
        <w:ind w:left="0" w:firstLine="0" w:firstLineChars="0"/>
        <w:jc w:val="left"/>
        <w:rPr>
          <w:rFonts w:hint="eastAsia" w:ascii="宋体" w:hAnsi="宋体" w:cs="宋体"/>
          <w:sz w:val="24"/>
          <w:szCs w:val="24"/>
        </w:rPr>
      </w:pPr>
      <w:r>
        <w:rPr>
          <w:rFonts w:hint="eastAsia" w:ascii="宋体" w:hAnsi="宋体" w:cs="宋体"/>
          <w:sz w:val="24"/>
          <w:szCs w:val="24"/>
        </w:rPr>
        <w:t>场馆内不吸烟，不使用易燃（弹力布、稻草等）、易爆物品以及含有辐射、放射、</w:t>
      </w:r>
    </w:p>
    <w:p>
      <w:pPr>
        <w:pStyle w:val="29"/>
        <w:ind w:left="359" w:leftChars="171" w:firstLine="0" w:firstLineChars="0"/>
        <w:jc w:val="left"/>
        <w:rPr>
          <w:rFonts w:ascii="宋体" w:hAnsi="宋体" w:cs="宋体"/>
          <w:sz w:val="24"/>
          <w:szCs w:val="24"/>
        </w:rPr>
      </w:pPr>
      <w:r>
        <w:rPr>
          <w:rFonts w:hint="eastAsia" w:ascii="宋体" w:hAnsi="宋体" w:cs="宋体"/>
          <w:sz w:val="24"/>
          <w:szCs w:val="24"/>
        </w:rPr>
        <w:t>有毒、腐蚀性高挥发物品等。搭建材料使用难燃或经过阻燃处理的材料，符合环保要求，线材使用双层绝缘铜芯护导线；</w:t>
      </w:r>
    </w:p>
    <w:p>
      <w:pPr>
        <w:pStyle w:val="29"/>
        <w:numPr>
          <w:ilvl w:val="0"/>
          <w:numId w:val="10"/>
        </w:numPr>
        <w:ind w:left="0" w:firstLine="0" w:firstLineChars="0"/>
        <w:jc w:val="left"/>
        <w:rPr>
          <w:rFonts w:hint="eastAsia" w:ascii="宋体" w:hAnsi="宋体" w:cs="宋体"/>
          <w:sz w:val="24"/>
          <w:szCs w:val="24"/>
        </w:rPr>
      </w:pPr>
      <w:r>
        <w:rPr>
          <w:rFonts w:hint="eastAsia" w:ascii="宋体" w:hAnsi="宋体" w:cs="宋体"/>
          <w:sz w:val="24"/>
          <w:szCs w:val="24"/>
        </w:rPr>
        <w:t>展位设计有地台的，将设置无障碍过道，在展位地台施工完成后，在地台边缘设置</w:t>
      </w:r>
    </w:p>
    <w:p>
      <w:pPr>
        <w:pStyle w:val="29"/>
        <w:ind w:firstLine="480"/>
        <w:jc w:val="left"/>
        <w:rPr>
          <w:rFonts w:ascii="宋体" w:hAnsi="宋体" w:cs="宋体"/>
          <w:sz w:val="24"/>
          <w:szCs w:val="24"/>
        </w:rPr>
      </w:pPr>
      <w:r>
        <w:rPr>
          <w:rFonts w:hint="eastAsia" w:ascii="宋体" w:hAnsi="宋体" w:cs="宋体"/>
          <w:sz w:val="24"/>
          <w:szCs w:val="24"/>
        </w:rPr>
        <w:t>明显的安全警示标志；过人地毯下方铺设线缆时设置明显安全警示标志；</w:t>
      </w:r>
    </w:p>
    <w:p>
      <w:pPr>
        <w:pStyle w:val="29"/>
        <w:numPr>
          <w:ilvl w:val="0"/>
          <w:numId w:val="10"/>
        </w:numPr>
        <w:ind w:left="0" w:firstLine="0" w:firstLineChars="0"/>
        <w:jc w:val="left"/>
        <w:rPr>
          <w:rFonts w:hint="eastAsia" w:ascii="宋体" w:hAnsi="宋体" w:cs="宋体"/>
          <w:sz w:val="24"/>
          <w:szCs w:val="24"/>
        </w:rPr>
      </w:pPr>
      <w:r>
        <w:rPr>
          <w:rFonts w:hint="eastAsia" w:ascii="宋体" w:hAnsi="宋体" w:cs="宋体"/>
          <w:sz w:val="24"/>
          <w:szCs w:val="24"/>
        </w:rPr>
        <w:t>展台材料及灯箱制作采用防火涂料进行防火处理，灯箱内灯具及镇流器安装与灯箱</w:t>
      </w:r>
    </w:p>
    <w:p>
      <w:pPr>
        <w:pStyle w:val="29"/>
        <w:ind w:firstLine="360" w:firstLineChars="150"/>
        <w:jc w:val="left"/>
        <w:rPr>
          <w:rFonts w:ascii="宋体" w:hAnsi="宋体" w:cs="宋体"/>
          <w:sz w:val="24"/>
          <w:szCs w:val="24"/>
        </w:rPr>
      </w:pPr>
      <w:r>
        <w:rPr>
          <w:rFonts w:hint="eastAsia" w:ascii="宋体" w:hAnsi="宋体" w:cs="宋体"/>
          <w:sz w:val="24"/>
          <w:szCs w:val="24"/>
        </w:rPr>
        <w:t>主体有安全距离空间，灯箱制作完毕后预留散热孔；</w:t>
      </w:r>
    </w:p>
    <w:p>
      <w:pPr>
        <w:pStyle w:val="29"/>
        <w:numPr>
          <w:ilvl w:val="0"/>
          <w:numId w:val="10"/>
        </w:numPr>
        <w:ind w:left="0" w:firstLine="0" w:firstLineChars="0"/>
        <w:jc w:val="left"/>
        <w:rPr>
          <w:rFonts w:hint="eastAsia" w:ascii="宋体" w:hAnsi="宋体" w:cs="宋体"/>
          <w:sz w:val="24"/>
          <w:szCs w:val="24"/>
        </w:rPr>
      </w:pPr>
      <w:r>
        <w:rPr>
          <w:rFonts w:hint="eastAsia" w:ascii="宋体" w:hAnsi="宋体" w:cs="宋体"/>
          <w:sz w:val="24"/>
          <w:szCs w:val="24"/>
        </w:rPr>
        <w:t>展台使用合格的电缆线，不使用麻花线等未达国标的线缆，电路连接时使用接线端</w:t>
      </w:r>
    </w:p>
    <w:p>
      <w:pPr>
        <w:pStyle w:val="29"/>
        <w:ind w:firstLine="360" w:firstLineChars="150"/>
        <w:jc w:val="left"/>
        <w:rPr>
          <w:rFonts w:ascii="宋体" w:hAnsi="宋体" w:cs="宋体"/>
          <w:sz w:val="24"/>
          <w:szCs w:val="24"/>
        </w:rPr>
      </w:pPr>
      <w:r>
        <w:rPr>
          <w:rFonts w:hint="eastAsia" w:ascii="宋体" w:hAnsi="宋体" w:cs="宋体"/>
          <w:sz w:val="24"/>
          <w:szCs w:val="24"/>
        </w:rPr>
        <w:t>子；展台电箱安装漏电保护开关；</w:t>
      </w:r>
    </w:p>
    <w:p>
      <w:pPr>
        <w:pStyle w:val="29"/>
        <w:numPr>
          <w:ilvl w:val="0"/>
          <w:numId w:val="10"/>
        </w:numPr>
        <w:ind w:left="0" w:firstLine="0" w:firstLineChars="0"/>
        <w:jc w:val="left"/>
        <w:rPr>
          <w:rFonts w:hint="eastAsia" w:ascii="宋体" w:hAnsi="宋体" w:cs="宋体"/>
          <w:sz w:val="24"/>
          <w:szCs w:val="24"/>
        </w:rPr>
      </w:pPr>
      <w:r>
        <w:rPr>
          <w:rFonts w:hint="eastAsia" w:ascii="宋体" w:hAnsi="宋体" w:cs="宋体"/>
          <w:sz w:val="24"/>
          <w:szCs w:val="24"/>
        </w:rPr>
        <w:t>不使用电、气焊等明火作业。不携带</w:t>
      </w:r>
      <w:r>
        <w:rPr>
          <w:rFonts w:hint="eastAsia" w:ascii="宋体" w:hAnsi="宋体"/>
          <w:sz w:val="24"/>
          <w:szCs w:val="24"/>
        </w:rPr>
        <w:t>气体瓶</w:t>
      </w:r>
      <w:r>
        <w:rPr>
          <w:rFonts w:hint="eastAsia" w:ascii="宋体" w:hAnsi="宋体" w:cs="宋体"/>
          <w:sz w:val="24"/>
          <w:szCs w:val="24"/>
        </w:rPr>
        <w:t>、焊机入馆，如需携带电锯、大型空压</w:t>
      </w:r>
    </w:p>
    <w:p>
      <w:pPr>
        <w:pStyle w:val="29"/>
        <w:ind w:left="359" w:leftChars="171" w:firstLine="0" w:firstLineChars="0"/>
        <w:jc w:val="left"/>
        <w:rPr>
          <w:rFonts w:ascii="宋体" w:hAnsi="宋体" w:cs="宋体"/>
          <w:sz w:val="24"/>
          <w:szCs w:val="24"/>
        </w:rPr>
      </w:pPr>
      <w:r>
        <w:rPr>
          <w:rFonts w:hint="eastAsia" w:ascii="宋体" w:hAnsi="宋体" w:cs="宋体"/>
          <w:sz w:val="24"/>
          <w:szCs w:val="24"/>
        </w:rPr>
        <w:t>机进馆，提前向主场服务商递交书面申请，获得许可后才进馆施工。电路、电气的安装，由持有效电工资格证件的人员按照国家电气标准进行施工（随身携带电工证件原件，以备核查）。保证各专业的施工人员只从事自身专业的施工，不跨专业施工、作业。</w:t>
      </w:r>
    </w:p>
    <w:p>
      <w:pPr>
        <w:pStyle w:val="29"/>
        <w:numPr>
          <w:ilvl w:val="0"/>
          <w:numId w:val="10"/>
        </w:numPr>
        <w:ind w:left="0" w:firstLine="0" w:firstLineChars="0"/>
        <w:jc w:val="left"/>
        <w:rPr>
          <w:rFonts w:hint="eastAsia" w:ascii="宋体" w:hAnsi="宋体" w:cs="宋体"/>
          <w:sz w:val="24"/>
          <w:szCs w:val="24"/>
        </w:rPr>
      </w:pPr>
      <w:r>
        <w:rPr>
          <w:rFonts w:hint="eastAsia" w:ascii="宋体" w:hAnsi="宋体" w:cs="宋体"/>
          <w:sz w:val="24"/>
          <w:szCs w:val="24"/>
        </w:rPr>
        <w:t>安全有序的进入场馆，不阻塞通道（进货通道及消防通道），搭建材料堆放在自己</w:t>
      </w:r>
    </w:p>
    <w:p>
      <w:pPr>
        <w:pStyle w:val="29"/>
        <w:ind w:firstLine="480"/>
        <w:jc w:val="left"/>
        <w:rPr>
          <w:rFonts w:ascii="宋体" w:hAnsi="宋体" w:cs="宋体"/>
          <w:sz w:val="24"/>
          <w:szCs w:val="24"/>
        </w:rPr>
      </w:pPr>
      <w:r>
        <w:rPr>
          <w:rFonts w:hint="eastAsia" w:ascii="宋体" w:hAnsi="宋体" w:cs="宋体"/>
          <w:sz w:val="24"/>
          <w:szCs w:val="24"/>
        </w:rPr>
        <w:t>所在展位内；</w:t>
      </w:r>
    </w:p>
    <w:p>
      <w:pPr>
        <w:pStyle w:val="29"/>
        <w:ind w:firstLine="0" w:firstLineChars="0"/>
        <w:jc w:val="left"/>
        <w:outlineLvl w:val="0"/>
        <w:rPr>
          <w:rFonts w:ascii="宋体" w:hAnsi="宋体" w:cs="宋体"/>
          <w:sz w:val="24"/>
          <w:szCs w:val="24"/>
        </w:rPr>
      </w:pPr>
      <w:r>
        <w:rPr>
          <w:rFonts w:hint="eastAsia" w:ascii="宋体" w:hAnsi="宋体" w:cs="宋体"/>
          <w:sz w:val="24"/>
          <w:szCs w:val="24"/>
        </w:rPr>
        <w:t>三、施工安全</w:t>
      </w:r>
    </w:p>
    <w:p>
      <w:pPr>
        <w:pStyle w:val="29"/>
        <w:numPr>
          <w:ilvl w:val="0"/>
          <w:numId w:val="11"/>
        </w:numPr>
        <w:ind w:left="0" w:firstLine="0" w:firstLineChars="0"/>
        <w:jc w:val="left"/>
        <w:rPr>
          <w:rFonts w:ascii="宋体" w:hAnsi="宋体" w:cs="宋体"/>
          <w:sz w:val="24"/>
          <w:szCs w:val="24"/>
        </w:rPr>
      </w:pPr>
      <w:r>
        <w:rPr>
          <w:rFonts w:hint="eastAsia" w:ascii="宋体" w:hAnsi="宋体" w:cs="宋体"/>
          <w:sz w:val="24"/>
          <w:szCs w:val="24"/>
        </w:rPr>
        <w:t>进入施工现场后正确佩戴经相关单位检测合格的安全帽、布撤展施工证件；</w:t>
      </w:r>
    </w:p>
    <w:p>
      <w:pPr>
        <w:pStyle w:val="29"/>
        <w:numPr>
          <w:ilvl w:val="0"/>
          <w:numId w:val="11"/>
        </w:numPr>
        <w:ind w:left="0" w:firstLine="0" w:firstLineChars="0"/>
        <w:jc w:val="left"/>
        <w:rPr>
          <w:rFonts w:hint="eastAsia" w:ascii="宋体" w:hAnsi="宋体" w:cs="宋体"/>
          <w:sz w:val="24"/>
          <w:szCs w:val="24"/>
        </w:rPr>
      </w:pPr>
      <w:r>
        <w:rPr>
          <w:rFonts w:hint="eastAsia" w:ascii="宋体" w:hAnsi="宋体" w:cs="宋体"/>
          <w:sz w:val="24"/>
          <w:szCs w:val="24"/>
        </w:rPr>
        <w:t>高空作业时使用安全合格的提升工具，并派专人指挥、看护、设置安全区，施工使</w:t>
      </w:r>
    </w:p>
    <w:p>
      <w:pPr>
        <w:pStyle w:val="29"/>
        <w:ind w:left="359" w:leftChars="171" w:firstLine="0" w:firstLineChars="0"/>
        <w:jc w:val="left"/>
        <w:rPr>
          <w:rFonts w:ascii="宋体" w:hAnsi="宋体" w:cs="宋体"/>
          <w:sz w:val="24"/>
          <w:szCs w:val="24"/>
        </w:rPr>
      </w:pPr>
      <w:r>
        <w:rPr>
          <w:rFonts w:hint="eastAsia" w:ascii="宋体" w:hAnsi="宋体" w:cs="宋体"/>
          <w:sz w:val="24"/>
          <w:szCs w:val="24"/>
        </w:rPr>
        <w:t>用的梯子必须牢固，超过</w:t>
      </w:r>
      <w:r>
        <w:rPr>
          <w:rFonts w:ascii="宋体" w:hAnsi="宋体" w:cs="宋体"/>
          <w:sz w:val="24"/>
          <w:szCs w:val="24"/>
        </w:rPr>
        <w:t>4</w:t>
      </w:r>
      <w:r>
        <w:rPr>
          <w:rFonts w:hint="eastAsia" w:ascii="宋体" w:hAnsi="宋体" w:cs="宋体"/>
          <w:sz w:val="24"/>
          <w:szCs w:val="24"/>
        </w:rPr>
        <w:t>米的梯子使用钢梯；使用移动脚手架保证架体连接牢固、平稳，隔板齐全、超过</w:t>
      </w:r>
      <w:r>
        <w:rPr>
          <w:rFonts w:ascii="宋体" w:hAnsi="宋体" w:cs="宋体"/>
          <w:sz w:val="24"/>
          <w:szCs w:val="24"/>
        </w:rPr>
        <w:t>5</w:t>
      </w:r>
      <w:r>
        <w:rPr>
          <w:rFonts w:hint="eastAsia" w:ascii="宋体" w:hAnsi="宋体" w:cs="宋体"/>
          <w:sz w:val="24"/>
          <w:szCs w:val="24"/>
        </w:rPr>
        <w:t>米高（三层以上）的脚手架将两组脚手架并列加宽使用，以增加脚手架的稳定性；</w:t>
      </w:r>
    </w:p>
    <w:p>
      <w:pPr>
        <w:pStyle w:val="29"/>
        <w:numPr>
          <w:ilvl w:val="0"/>
          <w:numId w:val="11"/>
        </w:numPr>
        <w:ind w:left="0" w:firstLine="0" w:firstLineChars="0"/>
        <w:jc w:val="left"/>
        <w:rPr>
          <w:rFonts w:hint="eastAsia" w:ascii="宋体" w:hAnsi="宋体" w:cs="宋体"/>
          <w:kern w:val="0"/>
          <w:sz w:val="24"/>
          <w:szCs w:val="24"/>
        </w:rPr>
      </w:pPr>
      <w:r>
        <w:rPr>
          <w:rFonts w:hint="eastAsia" w:ascii="宋体" w:hAnsi="宋体" w:cs="宋体"/>
          <w:kern w:val="0"/>
          <w:sz w:val="24"/>
          <w:szCs w:val="24"/>
        </w:rPr>
        <w:t>不在现场进行木结构初加工、</w:t>
      </w:r>
      <w:r>
        <w:rPr>
          <w:rFonts w:hint="eastAsia" w:ascii="宋体" w:hAnsi="宋体" w:cs="宋体"/>
          <w:sz w:val="24"/>
          <w:szCs w:val="24"/>
        </w:rPr>
        <w:t>腻子作业、喷漆等，上述作业我将在工厂制作完后在</w:t>
      </w:r>
    </w:p>
    <w:p>
      <w:pPr>
        <w:pStyle w:val="29"/>
        <w:ind w:firstLine="480"/>
        <w:jc w:val="left"/>
        <w:rPr>
          <w:rFonts w:ascii="宋体" w:hAnsi="宋体" w:cs="宋体"/>
          <w:kern w:val="0"/>
          <w:sz w:val="24"/>
          <w:szCs w:val="24"/>
        </w:rPr>
      </w:pPr>
      <w:r>
        <w:rPr>
          <w:rFonts w:hint="eastAsia" w:ascii="宋体" w:hAnsi="宋体" w:cs="宋体"/>
          <w:sz w:val="24"/>
          <w:szCs w:val="24"/>
        </w:rPr>
        <w:t>现场仅用于修补或接缝处理</w:t>
      </w:r>
      <w:r>
        <w:rPr>
          <w:rFonts w:hint="eastAsia" w:ascii="宋体" w:hAnsi="宋体" w:cs="宋体"/>
          <w:kern w:val="0"/>
          <w:sz w:val="24"/>
          <w:szCs w:val="24"/>
        </w:rPr>
        <w:t>；</w:t>
      </w:r>
    </w:p>
    <w:p>
      <w:pPr>
        <w:pStyle w:val="29"/>
        <w:numPr>
          <w:ilvl w:val="0"/>
          <w:numId w:val="11"/>
        </w:numPr>
        <w:ind w:left="0" w:firstLine="0" w:firstLineChars="0"/>
        <w:jc w:val="left"/>
        <w:rPr>
          <w:rFonts w:hint="eastAsia" w:ascii="宋体" w:hAnsi="宋体" w:cs="宋体"/>
          <w:sz w:val="24"/>
          <w:szCs w:val="24"/>
        </w:rPr>
      </w:pPr>
      <w:r>
        <w:rPr>
          <w:rFonts w:hint="eastAsia" w:ascii="宋体" w:hAnsi="宋体" w:cs="宋体"/>
          <w:sz w:val="24"/>
          <w:szCs w:val="24"/>
        </w:rPr>
        <w:t>玻璃装饰展台时，采用钢化玻璃、转角处作钝化处理，并确保安全可靠，以防破碎</w:t>
      </w:r>
    </w:p>
    <w:p>
      <w:pPr>
        <w:pStyle w:val="29"/>
        <w:ind w:firstLine="480"/>
        <w:jc w:val="left"/>
        <w:rPr>
          <w:rFonts w:ascii="宋体" w:hAnsi="宋体" w:cs="宋体"/>
          <w:sz w:val="24"/>
          <w:szCs w:val="24"/>
        </w:rPr>
      </w:pPr>
      <w:r>
        <w:rPr>
          <w:rFonts w:hint="eastAsia" w:ascii="宋体" w:hAnsi="宋体" w:cs="宋体"/>
          <w:sz w:val="24"/>
          <w:szCs w:val="24"/>
        </w:rPr>
        <w:t>伤人；</w:t>
      </w:r>
    </w:p>
    <w:p>
      <w:pPr>
        <w:pStyle w:val="29"/>
        <w:numPr>
          <w:ilvl w:val="0"/>
          <w:numId w:val="11"/>
        </w:numPr>
        <w:ind w:left="0" w:firstLine="0" w:firstLineChars="0"/>
        <w:jc w:val="left"/>
        <w:rPr>
          <w:rFonts w:hint="eastAsia" w:ascii="宋体" w:hAnsi="宋体" w:cs="宋体"/>
          <w:sz w:val="24"/>
          <w:szCs w:val="24"/>
        </w:rPr>
      </w:pPr>
      <w:r>
        <w:rPr>
          <w:rFonts w:hint="eastAsia" w:ascii="宋体" w:hAnsi="宋体" w:cs="宋体"/>
          <w:sz w:val="24"/>
          <w:szCs w:val="24"/>
        </w:rPr>
        <w:t>全面接受主场服务商工作人员的监督管理，对现场出现的问题无条件整改，在规定</w:t>
      </w:r>
    </w:p>
    <w:p>
      <w:pPr>
        <w:pStyle w:val="29"/>
        <w:ind w:firstLine="480"/>
        <w:jc w:val="left"/>
        <w:rPr>
          <w:rFonts w:hint="eastAsia" w:ascii="宋体" w:hAnsi="宋体" w:cs="宋体"/>
          <w:sz w:val="24"/>
          <w:szCs w:val="24"/>
        </w:rPr>
      </w:pPr>
      <w:r>
        <w:rPr>
          <w:rFonts w:hint="eastAsia" w:ascii="宋体" w:hAnsi="宋体" w:cs="宋体"/>
          <w:sz w:val="24"/>
          <w:szCs w:val="24"/>
        </w:rPr>
        <w:t>的施工搭建时间内完成搭建；</w:t>
      </w:r>
    </w:p>
    <w:p>
      <w:pPr>
        <w:pStyle w:val="29"/>
        <w:ind w:firstLine="0" w:firstLineChars="0"/>
        <w:jc w:val="left"/>
        <w:outlineLvl w:val="0"/>
        <w:rPr>
          <w:rFonts w:ascii="宋体" w:hAnsi="宋体" w:cs="宋体"/>
          <w:sz w:val="24"/>
          <w:szCs w:val="24"/>
        </w:rPr>
      </w:pPr>
      <w:r>
        <w:rPr>
          <w:rFonts w:hint="eastAsia" w:ascii="宋体" w:hAnsi="宋体" w:cs="宋体"/>
          <w:sz w:val="24"/>
          <w:szCs w:val="24"/>
        </w:rPr>
        <w:t>四、卫生清洁</w:t>
      </w:r>
    </w:p>
    <w:p>
      <w:pPr>
        <w:autoSpaceDE w:val="0"/>
        <w:autoSpaceDN w:val="0"/>
        <w:adjustRightInd w:val="0"/>
        <w:ind w:left="480" w:hanging="480" w:hangingChars="200"/>
        <w:jc w:val="left"/>
        <w:rPr>
          <w:rFonts w:hint="eastAsia" w:ascii="宋体" w:hAnsi="宋体" w:cs="新宋体"/>
          <w:sz w:val="24"/>
          <w:szCs w:val="24"/>
        </w:rPr>
      </w:pPr>
      <w:r>
        <w:rPr>
          <w:rFonts w:hint="eastAsia" w:ascii="宋体" w:hAnsi="宋体" w:cs="宋体"/>
          <w:sz w:val="24"/>
          <w:szCs w:val="24"/>
        </w:rPr>
        <w:t xml:space="preserve">1.  </w:t>
      </w:r>
      <w:r>
        <w:rPr>
          <w:rFonts w:hint="eastAsia" w:ascii="宋体" w:hAnsi="宋体" w:cs="新宋体"/>
          <w:sz w:val="24"/>
          <w:szCs w:val="24"/>
        </w:rPr>
        <w:t>布展期，展台搭建材料的包装、废料、碎片等不得阻塞展馆内通道，搭建单位每天清场前必须清理搭建垃圾、日常垃圾。</w:t>
      </w:r>
    </w:p>
    <w:p>
      <w:pPr>
        <w:autoSpaceDE w:val="0"/>
        <w:autoSpaceDN w:val="0"/>
        <w:adjustRightInd w:val="0"/>
        <w:ind w:left="480" w:hanging="480" w:hangingChars="200"/>
        <w:jc w:val="left"/>
        <w:rPr>
          <w:rFonts w:ascii="宋体" w:hAnsi="宋体" w:cs="新宋体"/>
          <w:sz w:val="24"/>
          <w:szCs w:val="24"/>
        </w:rPr>
      </w:pPr>
      <w:r>
        <w:rPr>
          <w:rFonts w:hint="eastAsia" w:ascii="宋体" w:hAnsi="宋体" w:cs="新宋体"/>
          <w:sz w:val="24"/>
          <w:szCs w:val="24"/>
        </w:rPr>
        <w:t>2.  展会期间，各展位自行负责保洁工作，大会仅提供公共区域的一般清洁工作；除公共区域的日常垃圾清洁，各展位内的展品、展具清洁由参展单位自行清洁及维护。</w:t>
      </w:r>
    </w:p>
    <w:p>
      <w:pPr>
        <w:autoSpaceDE w:val="0"/>
        <w:autoSpaceDN w:val="0"/>
        <w:adjustRightInd w:val="0"/>
        <w:ind w:left="480" w:hanging="480" w:hangingChars="200"/>
        <w:jc w:val="left"/>
        <w:rPr>
          <w:rFonts w:ascii="宋体" w:hAnsi="宋体" w:cs="新宋体"/>
          <w:sz w:val="24"/>
          <w:szCs w:val="24"/>
        </w:rPr>
      </w:pPr>
      <w:r>
        <w:rPr>
          <w:rFonts w:hint="eastAsia" w:ascii="宋体" w:hAnsi="宋体" w:cs="新宋体"/>
          <w:sz w:val="24"/>
          <w:szCs w:val="24"/>
        </w:rPr>
        <w:t>3.  展期内，各展位当日累积垃圾请于每日闭馆前自行清运到指定垃圾点，不得堆放在通道及公共区域。</w:t>
      </w:r>
    </w:p>
    <w:p>
      <w:pPr>
        <w:autoSpaceDE w:val="0"/>
        <w:autoSpaceDN w:val="0"/>
        <w:adjustRightInd w:val="0"/>
        <w:ind w:left="480" w:hanging="480" w:hangingChars="200"/>
        <w:jc w:val="left"/>
        <w:rPr>
          <w:rFonts w:hint="eastAsia" w:ascii="宋体" w:hAnsi="宋体" w:cs="新宋体"/>
          <w:sz w:val="24"/>
          <w:szCs w:val="24"/>
        </w:rPr>
      </w:pPr>
      <w:r>
        <w:rPr>
          <w:rFonts w:hint="eastAsia" w:ascii="宋体" w:hAnsi="宋体" w:cs="新宋体"/>
          <w:sz w:val="24"/>
          <w:szCs w:val="24"/>
        </w:rPr>
        <w:t>4.  撤展期，搭建单位及展位负责人必须按照“展会时间安排”所规定的时间段内清理现场所有材料，不得野蛮施工，展台拆除材料禁止堆放在货运通道，严禁肆意在展馆外围丢弃拆除材料。</w:t>
      </w:r>
    </w:p>
    <w:p>
      <w:pPr>
        <w:pStyle w:val="29"/>
        <w:ind w:firstLine="0" w:firstLineChars="0"/>
        <w:jc w:val="left"/>
        <w:outlineLvl w:val="0"/>
        <w:rPr>
          <w:rFonts w:ascii="宋体" w:hAnsi="宋体" w:cs="宋体"/>
          <w:sz w:val="24"/>
          <w:szCs w:val="24"/>
        </w:rPr>
      </w:pPr>
      <w:r>
        <w:rPr>
          <w:rFonts w:hint="eastAsia" w:ascii="宋体" w:hAnsi="宋体" w:cs="宋体"/>
          <w:sz w:val="24"/>
          <w:szCs w:val="24"/>
        </w:rPr>
        <w:t>五、大会管理规定</w:t>
      </w:r>
    </w:p>
    <w:p>
      <w:pPr>
        <w:pStyle w:val="29"/>
        <w:numPr>
          <w:ilvl w:val="0"/>
          <w:numId w:val="12"/>
        </w:numPr>
        <w:ind w:left="0" w:firstLine="0" w:firstLineChars="0"/>
        <w:jc w:val="left"/>
        <w:rPr>
          <w:rFonts w:ascii="宋体" w:hAnsi="宋体" w:cs="宋体"/>
          <w:sz w:val="24"/>
          <w:szCs w:val="24"/>
        </w:rPr>
      </w:pPr>
      <w:r>
        <w:rPr>
          <w:rFonts w:hint="eastAsia" w:ascii="宋体" w:hAnsi="宋体" w:cs="宋体"/>
          <w:sz w:val="24"/>
          <w:szCs w:val="24"/>
        </w:rPr>
        <w:t>未办理入场手续，不进入场馆施工、加班或延时加班。</w:t>
      </w:r>
    </w:p>
    <w:p>
      <w:pPr>
        <w:pStyle w:val="29"/>
        <w:numPr>
          <w:ilvl w:val="0"/>
          <w:numId w:val="12"/>
        </w:numPr>
        <w:ind w:left="0" w:firstLine="0" w:firstLineChars="0"/>
        <w:jc w:val="left"/>
        <w:rPr>
          <w:rFonts w:ascii="宋体" w:hAnsi="宋体" w:cs="宋体"/>
          <w:sz w:val="24"/>
          <w:szCs w:val="24"/>
        </w:rPr>
      </w:pPr>
      <w:r>
        <w:rPr>
          <w:rFonts w:hint="eastAsia" w:ascii="宋体" w:hAnsi="宋体" w:cs="宋体"/>
          <w:sz w:val="24"/>
          <w:szCs w:val="24"/>
        </w:rPr>
        <w:t>不在未经大会许可情况下私带电锯、切割机、焊机、大型空压机进馆施工；</w:t>
      </w:r>
    </w:p>
    <w:p>
      <w:pPr>
        <w:pStyle w:val="29"/>
        <w:numPr>
          <w:ilvl w:val="0"/>
          <w:numId w:val="12"/>
        </w:numPr>
        <w:ind w:left="0" w:firstLine="0" w:firstLineChars="0"/>
        <w:jc w:val="left"/>
        <w:rPr>
          <w:rFonts w:ascii="宋体" w:hAnsi="宋体" w:cs="宋体"/>
          <w:sz w:val="24"/>
          <w:szCs w:val="24"/>
        </w:rPr>
      </w:pPr>
      <w:r>
        <w:rPr>
          <w:rFonts w:hint="eastAsia" w:ascii="宋体" w:hAnsi="宋体" w:cs="宋体"/>
          <w:sz w:val="24"/>
          <w:szCs w:val="24"/>
        </w:rPr>
        <w:t>施工人员已全部购买人身意外险，不打架斗殴，不私自维权；</w:t>
      </w:r>
    </w:p>
    <w:p>
      <w:pPr>
        <w:pStyle w:val="29"/>
        <w:numPr>
          <w:ilvl w:val="0"/>
          <w:numId w:val="12"/>
        </w:numPr>
        <w:ind w:left="0" w:firstLine="0" w:firstLineChars="0"/>
        <w:jc w:val="left"/>
        <w:rPr>
          <w:rFonts w:hint="eastAsia" w:ascii="宋体" w:hAnsi="宋体" w:cs="宋体"/>
          <w:sz w:val="24"/>
          <w:szCs w:val="24"/>
        </w:rPr>
      </w:pPr>
      <w:r>
        <w:rPr>
          <w:rFonts w:hint="eastAsia" w:ascii="宋体" w:hAnsi="宋体" w:cs="宋体"/>
          <w:sz w:val="24"/>
          <w:szCs w:val="24"/>
        </w:rPr>
        <w:t>搭建的展台高于隔壁展台时，高出部分将以无文字，无</w:t>
      </w:r>
      <w:r>
        <w:rPr>
          <w:rFonts w:ascii="宋体" w:hAnsi="宋体" w:cs="宋体"/>
          <w:sz w:val="24"/>
          <w:szCs w:val="24"/>
        </w:rPr>
        <w:t>LOGO</w:t>
      </w:r>
      <w:r>
        <w:rPr>
          <w:rFonts w:hint="eastAsia" w:ascii="宋体" w:hAnsi="宋体" w:cs="宋体"/>
          <w:sz w:val="24"/>
          <w:szCs w:val="24"/>
        </w:rPr>
        <w:t xml:space="preserve">，无广告的白色物料做   </w:t>
      </w:r>
    </w:p>
    <w:p>
      <w:pPr>
        <w:pStyle w:val="29"/>
        <w:ind w:firstLine="480"/>
        <w:jc w:val="left"/>
        <w:rPr>
          <w:rFonts w:ascii="宋体" w:hAnsi="宋体" w:cs="宋体"/>
          <w:sz w:val="24"/>
          <w:szCs w:val="24"/>
        </w:rPr>
      </w:pPr>
      <w:r>
        <w:rPr>
          <w:rFonts w:hint="eastAsia" w:ascii="宋体" w:hAnsi="宋体" w:cs="宋体"/>
          <w:sz w:val="24"/>
          <w:szCs w:val="24"/>
        </w:rPr>
        <w:t>美化处理；</w:t>
      </w:r>
    </w:p>
    <w:p>
      <w:pPr>
        <w:pStyle w:val="29"/>
        <w:numPr>
          <w:ilvl w:val="0"/>
          <w:numId w:val="12"/>
        </w:numPr>
        <w:ind w:left="0" w:firstLine="0" w:firstLineChars="0"/>
        <w:jc w:val="left"/>
        <w:rPr>
          <w:rFonts w:hint="eastAsia" w:ascii="宋体" w:hAnsi="宋体" w:cs="宋体"/>
          <w:sz w:val="24"/>
          <w:szCs w:val="24"/>
        </w:rPr>
      </w:pPr>
      <w:r>
        <w:rPr>
          <w:rFonts w:hint="eastAsia" w:ascii="宋体" w:hAnsi="宋体" w:cs="宋体"/>
          <w:sz w:val="24"/>
          <w:szCs w:val="24"/>
        </w:rPr>
        <w:t xml:space="preserve">布展期间不使用展期用电；严格遵守大会规定不损坏展馆设备、设施；不在展馆地  </w:t>
      </w:r>
    </w:p>
    <w:p>
      <w:pPr>
        <w:pStyle w:val="29"/>
        <w:ind w:firstLine="480"/>
        <w:jc w:val="left"/>
        <w:rPr>
          <w:rFonts w:ascii="宋体" w:hAnsi="宋体" w:cs="宋体"/>
          <w:sz w:val="24"/>
          <w:szCs w:val="24"/>
        </w:rPr>
      </w:pPr>
      <w:r>
        <w:rPr>
          <w:rFonts w:hint="eastAsia" w:ascii="宋体" w:hAnsi="宋体" w:cs="宋体"/>
          <w:sz w:val="24"/>
          <w:szCs w:val="24"/>
        </w:rPr>
        <w:t>面、墙面上打孔、钉钉、刷漆、涂色；</w:t>
      </w:r>
    </w:p>
    <w:p>
      <w:pPr>
        <w:pStyle w:val="29"/>
        <w:numPr>
          <w:ilvl w:val="0"/>
          <w:numId w:val="12"/>
        </w:numPr>
        <w:ind w:left="0" w:firstLine="0" w:firstLineChars="0"/>
        <w:jc w:val="left"/>
        <w:rPr>
          <w:rFonts w:ascii="宋体" w:hAnsi="宋体" w:cs="宋体"/>
          <w:sz w:val="24"/>
          <w:szCs w:val="24"/>
        </w:rPr>
      </w:pPr>
      <w:r>
        <w:rPr>
          <w:rFonts w:hint="eastAsia" w:ascii="宋体" w:hAnsi="宋体" w:cs="宋体"/>
          <w:sz w:val="24"/>
          <w:szCs w:val="24"/>
        </w:rPr>
        <w:t>严格遵守大会展区安全管理规定，布撤展施工管理要求及细则；</w:t>
      </w:r>
    </w:p>
    <w:p>
      <w:pPr>
        <w:pStyle w:val="41"/>
        <w:ind w:firstLine="0" w:firstLineChars="0"/>
        <w:jc w:val="left"/>
        <w:outlineLvl w:val="0"/>
        <w:rPr>
          <w:rFonts w:ascii="宋体" w:hAnsi="宋体" w:cs="新宋体"/>
          <w:sz w:val="24"/>
          <w:szCs w:val="24"/>
        </w:rPr>
      </w:pPr>
      <w:r>
        <w:rPr>
          <w:rFonts w:hint="eastAsia" w:ascii="宋体" w:hAnsi="宋体" w:cs="新宋体"/>
          <w:sz w:val="24"/>
          <w:szCs w:val="24"/>
        </w:rPr>
        <w:t>六、撤展</w:t>
      </w:r>
    </w:p>
    <w:p>
      <w:pPr>
        <w:pStyle w:val="41"/>
        <w:numPr>
          <w:ilvl w:val="0"/>
          <w:numId w:val="13"/>
        </w:numPr>
        <w:ind w:left="0" w:firstLine="0" w:firstLineChars="0"/>
        <w:jc w:val="left"/>
        <w:rPr>
          <w:rFonts w:ascii="宋体" w:hAnsi="宋体" w:cs="新宋体"/>
          <w:sz w:val="24"/>
          <w:szCs w:val="24"/>
        </w:rPr>
      </w:pPr>
      <w:r>
        <w:rPr>
          <w:rFonts w:hint="eastAsia" w:ascii="宋体" w:hAnsi="宋体" w:cs="新宋体"/>
          <w:sz w:val="24"/>
          <w:szCs w:val="24"/>
        </w:rPr>
        <w:t>严格在大会规定时间内安全撤离；不违规提前撤除展台；</w:t>
      </w:r>
    </w:p>
    <w:p>
      <w:pPr>
        <w:pStyle w:val="41"/>
        <w:numPr>
          <w:ilvl w:val="0"/>
          <w:numId w:val="13"/>
        </w:numPr>
        <w:ind w:left="0" w:firstLine="0" w:firstLineChars="0"/>
        <w:jc w:val="left"/>
        <w:rPr>
          <w:rFonts w:hint="eastAsia" w:ascii="宋体" w:hAnsi="宋体" w:cs="新宋体"/>
          <w:sz w:val="24"/>
          <w:szCs w:val="24"/>
        </w:rPr>
      </w:pPr>
      <w:r>
        <w:rPr>
          <w:rFonts w:hint="eastAsia" w:ascii="宋体" w:hAnsi="宋体" w:cs="新宋体"/>
          <w:sz w:val="24"/>
          <w:szCs w:val="24"/>
        </w:rPr>
        <w:t xml:space="preserve">撤展期间我单位将设置安全区域、安全警戒人员，不转包给第三方撤展。不野蛮施  </w:t>
      </w:r>
    </w:p>
    <w:p>
      <w:pPr>
        <w:pStyle w:val="41"/>
        <w:ind w:firstLine="480"/>
        <w:jc w:val="left"/>
        <w:rPr>
          <w:rFonts w:hint="eastAsia" w:ascii="宋体" w:hAnsi="宋体" w:cs="新宋体"/>
          <w:sz w:val="24"/>
          <w:szCs w:val="24"/>
        </w:rPr>
      </w:pPr>
      <w:r>
        <w:rPr>
          <w:rFonts w:hint="eastAsia" w:ascii="宋体" w:hAnsi="宋体" w:cs="新宋体"/>
          <w:sz w:val="24"/>
          <w:szCs w:val="24"/>
        </w:rPr>
        <w:t>工、违规撤除展台，严格遵守大会相关规定，安全、有序撤展；</w:t>
      </w:r>
    </w:p>
    <w:p>
      <w:pPr>
        <w:pStyle w:val="41"/>
        <w:ind w:firstLine="0" w:firstLineChars="0"/>
        <w:jc w:val="left"/>
        <w:outlineLvl w:val="0"/>
        <w:rPr>
          <w:rFonts w:ascii="宋体" w:hAnsi="宋体" w:cs="新宋体"/>
          <w:sz w:val="24"/>
          <w:szCs w:val="24"/>
        </w:rPr>
      </w:pPr>
      <w:r>
        <w:rPr>
          <w:rFonts w:hint="eastAsia" w:ascii="宋体" w:hAnsi="宋体" w:cs="新宋体"/>
          <w:sz w:val="24"/>
          <w:szCs w:val="24"/>
        </w:rPr>
        <w:t>七、其他</w:t>
      </w:r>
    </w:p>
    <w:p>
      <w:pPr>
        <w:pStyle w:val="41"/>
        <w:ind w:firstLine="0" w:firstLineChars="0"/>
        <w:jc w:val="left"/>
        <w:rPr>
          <w:rFonts w:ascii="宋体" w:hAnsi="宋体" w:cs="新宋体"/>
          <w:sz w:val="24"/>
          <w:szCs w:val="24"/>
        </w:rPr>
      </w:pPr>
      <w:r>
        <w:rPr>
          <w:rFonts w:hint="eastAsia" w:ascii="宋体" w:hAnsi="宋体" w:cs="新宋体"/>
          <w:sz w:val="24"/>
          <w:szCs w:val="24"/>
        </w:rPr>
        <w:t>1．对所负责区域发生的财产损失和人员伤亡事故承担全部责任；</w:t>
      </w:r>
    </w:p>
    <w:p>
      <w:pPr>
        <w:pStyle w:val="41"/>
        <w:ind w:left="360" w:hanging="360" w:hangingChars="150"/>
        <w:jc w:val="left"/>
        <w:rPr>
          <w:rFonts w:ascii="宋体" w:hAnsi="宋体" w:cs="新宋体"/>
          <w:sz w:val="24"/>
          <w:szCs w:val="24"/>
        </w:rPr>
      </w:pPr>
      <w:r>
        <w:rPr>
          <w:rFonts w:hint="eastAsia" w:ascii="宋体" w:hAnsi="宋体" w:cs="新宋体"/>
          <w:sz w:val="24"/>
          <w:szCs w:val="24"/>
        </w:rPr>
        <w:t>2．因自身原因导致所承接的展位装修工程未能按时完工，我单位自愿放弃净地施工保证金，由组委会用我司报馆所交净地施工保证金作为未搭建完成展位后续工作的相关费用支出，如所需费用不足我单位再另行承担相应金额。若产生法律纠纷我司承担相应法律责任。</w:t>
      </w:r>
    </w:p>
    <w:p>
      <w:pPr>
        <w:pStyle w:val="41"/>
        <w:ind w:firstLine="0" w:firstLineChars="0"/>
        <w:jc w:val="left"/>
        <w:rPr>
          <w:rFonts w:ascii="宋体" w:hAnsi="宋体" w:cs="新宋体"/>
          <w:sz w:val="24"/>
          <w:szCs w:val="24"/>
        </w:rPr>
      </w:pPr>
      <w:r>
        <w:rPr>
          <w:rFonts w:hint="eastAsia" w:ascii="宋体" w:hAnsi="宋体" w:cs="新宋体"/>
          <w:sz w:val="24"/>
          <w:szCs w:val="24"/>
        </w:rPr>
        <w:t>3. 以上条款我司如有违反，自愿接受净地保证金的违约扣除。</w:t>
      </w:r>
    </w:p>
    <w:p>
      <w:pPr>
        <w:pStyle w:val="41"/>
        <w:ind w:firstLine="0" w:firstLineChars="0"/>
        <w:jc w:val="left"/>
        <w:rPr>
          <w:rFonts w:hint="eastAsia" w:ascii="宋体" w:hAnsi="宋体" w:cs="新宋体"/>
          <w:sz w:val="24"/>
          <w:szCs w:val="24"/>
        </w:rPr>
      </w:pPr>
    </w:p>
    <w:p>
      <w:pPr>
        <w:pStyle w:val="41"/>
        <w:ind w:firstLine="0" w:firstLineChars="0"/>
        <w:jc w:val="left"/>
        <w:rPr>
          <w:rFonts w:hint="eastAsia" w:ascii="宋体" w:hAnsi="宋体" w:cs="新宋体"/>
          <w:sz w:val="24"/>
          <w:szCs w:val="24"/>
        </w:rPr>
      </w:pPr>
    </w:p>
    <w:p>
      <w:pPr>
        <w:pStyle w:val="41"/>
        <w:ind w:firstLine="0" w:firstLineChars="0"/>
        <w:jc w:val="left"/>
        <w:rPr>
          <w:rFonts w:hint="eastAsia" w:ascii="宋体" w:hAnsi="宋体" w:cs="新宋体"/>
          <w:sz w:val="24"/>
          <w:szCs w:val="24"/>
        </w:rPr>
      </w:pPr>
    </w:p>
    <w:p>
      <w:pPr>
        <w:pStyle w:val="41"/>
        <w:ind w:firstLine="0" w:firstLineChars="0"/>
        <w:jc w:val="left"/>
        <w:rPr>
          <w:rFonts w:ascii="宋体" w:hAnsi="宋体" w:cs="新宋体"/>
          <w:sz w:val="24"/>
          <w:szCs w:val="24"/>
        </w:rPr>
      </w:pPr>
    </w:p>
    <w:p>
      <w:pPr>
        <w:pStyle w:val="41"/>
        <w:ind w:firstLine="0" w:firstLineChars="0"/>
        <w:jc w:val="left"/>
        <w:rPr>
          <w:rFonts w:ascii="宋体" w:hAnsi="宋体" w:cs="新宋体"/>
          <w:sz w:val="24"/>
          <w:szCs w:val="24"/>
        </w:rPr>
      </w:pPr>
      <w:r>
        <w:rPr>
          <w:rFonts w:hint="eastAsia" w:ascii="宋体" w:hAnsi="宋体" w:cs="新宋体"/>
          <w:sz w:val="24"/>
          <w:szCs w:val="24"/>
        </w:rPr>
        <w:t xml:space="preserve">                                           搭建单位（盖章）：</w:t>
      </w:r>
    </w:p>
    <w:p>
      <w:pPr>
        <w:pStyle w:val="41"/>
        <w:ind w:firstLine="0" w:firstLineChars="0"/>
        <w:jc w:val="left"/>
        <w:rPr>
          <w:rFonts w:ascii="宋体" w:hAnsi="宋体" w:cs="新宋体"/>
          <w:sz w:val="24"/>
          <w:szCs w:val="24"/>
        </w:rPr>
      </w:pPr>
      <w:r>
        <w:rPr>
          <w:rFonts w:hint="eastAsia" w:ascii="宋体" w:hAnsi="宋体" w:cs="新宋体"/>
          <w:sz w:val="24"/>
          <w:szCs w:val="24"/>
        </w:rPr>
        <w:t xml:space="preserve">                                           现场安全负责人（签字）：</w:t>
      </w:r>
    </w:p>
    <w:p>
      <w:pPr>
        <w:pStyle w:val="41"/>
        <w:ind w:firstLine="0" w:firstLineChars="0"/>
        <w:jc w:val="left"/>
        <w:rPr>
          <w:rFonts w:ascii="宋体" w:hAnsi="宋体" w:cs="新宋体"/>
          <w:sz w:val="24"/>
          <w:szCs w:val="24"/>
        </w:rPr>
      </w:pPr>
      <w:r>
        <w:rPr>
          <w:rFonts w:hint="eastAsia" w:ascii="宋体" w:hAnsi="宋体" w:cs="新宋体"/>
          <w:sz w:val="24"/>
          <w:szCs w:val="24"/>
        </w:rPr>
        <w:t xml:space="preserve">                                           现场安全负责人手机号码：</w:t>
      </w:r>
    </w:p>
    <w:p>
      <w:pPr>
        <w:pStyle w:val="41"/>
        <w:ind w:firstLine="0" w:firstLineChars="0"/>
        <w:jc w:val="left"/>
        <w:rPr>
          <w:rFonts w:ascii="宋体" w:hAnsi="宋体" w:cs="新宋体"/>
          <w:sz w:val="24"/>
          <w:szCs w:val="24"/>
        </w:rPr>
      </w:pPr>
      <w:r>
        <w:rPr>
          <w:rFonts w:hint="eastAsia" w:ascii="宋体" w:hAnsi="宋体" w:cs="新宋体"/>
          <w:sz w:val="24"/>
          <w:szCs w:val="24"/>
        </w:rPr>
        <w:t xml:space="preserve">                                           201</w:t>
      </w:r>
      <w:r>
        <w:rPr>
          <w:rFonts w:hint="eastAsia" w:ascii="宋体" w:hAnsi="宋体" w:cs="新宋体"/>
          <w:sz w:val="24"/>
          <w:szCs w:val="24"/>
          <w:lang w:val="en-US" w:eastAsia="zh-CN"/>
        </w:rPr>
        <w:t>9</w:t>
      </w:r>
      <w:r>
        <w:rPr>
          <w:rFonts w:hint="eastAsia" w:ascii="宋体" w:hAnsi="宋体" w:cs="新宋体"/>
          <w:sz w:val="24"/>
          <w:szCs w:val="24"/>
        </w:rPr>
        <w:t>年    月    日</w:t>
      </w: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rPr>
      </w:pPr>
    </w:p>
    <w:p>
      <w:pPr>
        <w:pStyle w:val="26"/>
        <w:outlineLvl w:val="0"/>
        <w:rPr>
          <w:rFonts w:hint="eastAsia" w:ascii="宋体" w:hAnsi="宋体" w:eastAsia="宋体" w:cs="新宋体"/>
          <w:szCs w:val="21"/>
        </w:rPr>
      </w:pPr>
      <w:r>
        <w:rPr>
          <w:rFonts w:hint="eastAsia" w:ascii="宋体" w:hAnsi="宋体" w:eastAsia="宋体" w:cs="新宋体"/>
        </w:rPr>
        <w:t>2.</w:t>
      </w:r>
      <w:r>
        <w:rPr>
          <w:rFonts w:hint="eastAsia" w:ascii="宋体" w:hAnsi="宋体" w:eastAsia="宋体" w:cs="新宋体"/>
          <w:lang w:val="en-US" w:eastAsia="zh-CN"/>
        </w:rPr>
        <w:t xml:space="preserve">4 </w:t>
      </w:r>
      <w:r>
        <w:rPr>
          <w:rFonts w:hint="eastAsia" w:ascii="宋体" w:hAnsi="宋体" w:eastAsia="宋体" w:cs="新宋体"/>
          <w:szCs w:val="21"/>
        </w:rPr>
        <w:t>展台施工押金退还确认单</w:t>
      </w:r>
    </w:p>
    <w:p>
      <w:pPr>
        <w:pStyle w:val="52"/>
        <w:spacing w:line="500" w:lineRule="atLeast"/>
        <w:jc w:val="center"/>
        <w:rPr>
          <w:rFonts w:ascii="宋体" w:hAnsi="宋体" w:eastAsia="宋体" w:cs="新宋体"/>
          <w:szCs w:val="21"/>
        </w:rPr>
      </w:pPr>
      <w:r>
        <w:rPr>
          <w:rFonts w:hint="eastAsia" w:ascii="宋体" w:hAnsi="宋体" w:eastAsia="宋体" w:cs="新宋体"/>
          <w:sz w:val="28"/>
          <w:szCs w:val="28"/>
        </w:rPr>
        <w:t>展台施工押金退还确认单</w:t>
      </w:r>
    </w:p>
    <w:tbl>
      <w:tblPr>
        <w:tblStyle w:val="17"/>
        <w:tblW w:w="9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701"/>
        <w:gridCol w:w="5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2660" w:type="dxa"/>
            <w:noWrap w:val="0"/>
            <w:vAlign w:val="center"/>
          </w:tcPr>
          <w:p>
            <w:pPr>
              <w:jc w:val="center"/>
              <w:rPr>
                <w:rFonts w:ascii="宋体" w:hAnsi="宋体"/>
                <w:sz w:val="24"/>
                <w:szCs w:val="24"/>
              </w:rPr>
            </w:pPr>
            <w:r>
              <w:rPr>
                <w:rFonts w:hint="eastAsia" w:ascii="宋体" w:hAnsi="宋体"/>
                <w:sz w:val="24"/>
                <w:szCs w:val="24"/>
              </w:rPr>
              <w:t>参展商名称</w:t>
            </w:r>
          </w:p>
        </w:tc>
        <w:tc>
          <w:tcPr>
            <w:tcW w:w="7131" w:type="dxa"/>
            <w:gridSpan w:val="2"/>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2660" w:type="dxa"/>
            <w:noWrap w:val="0"/>
            <w:vAlign w:val="center"/>
          </w:tcPr>
          <w:p>
            <w:pPr>
              <w:jc w:val="center"/>
              <w:rPr>
                <w:rFonts w:ascii="宋体" w:hAnsi="宋体"/>
                <w:sz w:val="24"/>
                <w:szCs w:val="24"/>
              </w:rPr>
            </w:pPr>
            <w:r>
              <w:rPr>
                <w:rFonts w:hint="eastAsia" w:ascii="宋体" w:hAnsi="宋体"/>
                <w:sz w:val="24"/>
                <w:szCs w:val="24"/>
              </w:rPr>
              <w:t>展位号</w:t>
            </w:r>
          </w:p>
        </w:tc>
        <w:tc>
          <w:tcPr>
            <w:tcW w:w="7131" w:type="dxa"/>
            <w:gridSpan w:val="2"/>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trPr>
        <w:tc>
          <w:tcPr>
            <w:tcW w:w="2660" w:type="dxa"/>
            <w:noWrap w:val="0"/>
            <w:vAlign w:val="center"/>
          </w:tcPr>
          <w:p>
            <w:pPr>
              <w:jc w:val="center"/>
              <w:rPr>
                <w:rFonts w:ascii="宋体" w:hAnsi="宋体"/>
                <w:sz w:val="24"/>
                <w:szCs w:val="24"/>
              </w:rPr>
            </w:pPr>
            <w:r>
              <w:rPr>
                <w:rFonts w:hint="eastAsia" w:ascii="宋体" w:hAnsi="宋体"/>
                <w:sz w:val="24"/>
                <w:szCs w:val="24"/>
              </w:rPr>
              <w:t>展位面积</w:t>
            </w:r>
          </w:p>
        </w:tc>
        <w:tc>
          <w:tcPr>
            <w:tcW w:w="7131" w:type="dxa"/>
            <w:gridSpan w:val="2"/>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2660" w:type="dxa"/>
            <w:noWrap w:val="0"/>
            <w:vAlign w:val="center"/>
          </w:tcPr>
          <w:p>
            <w:pPr>
              <w:jc w:val="center"/>
              <w:rPr>
                <w:rFonts w:ascii="宋体" w:hAnsi="宋体"/>
                <w:sz w:val="24"/>
                <w:szCs w:val="24"/>
              </w:rPr>
            </w:pPr>
            <w:r>
              <w:rPr>
                <w:rFonts w:hint="eastAsia" w:ascii="宋体" w:hAnsi="宋体"/>
                <w:sz w:val="24"/>
                <w:szCs w:val="24"/>
              </w:rPr>
              <w:t>施工单位名称</w:t>
            </w:r>
          </w:p>
        </w:tc>
        <w:tc>
          <w:tcPr>
            <w:tcW w:w="7131" w:type="dxa"/>
            <w:gridSpan w:val="2"/>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2660" w:type="dxa"/>
            <w:noWrap w:val="0"/>
            <w:vAlign w:val="center"/>
          </w:tcPr>
          <w:p>
            <w:pPr>
              <w:jc w:val="center"/>
              <w:rPr>
                <w:rFonts w:ascii="宋体" w:hAnsi="宋体"/>
                <w:sz w:val="24"/>
                <w:szCs w:val="24"/>
              </w:rPr>
            </w:pPr>
            <w:r>
              <w:rPr>
                <w:rFonts w:hint="eastAsia" w:ascii="宋体" w:hAnsi="宋体"/>
                <w:sz w:val="24"/>
                <w:szCs w:val="24"/>
              </w:rPr>
              <w:t>施工负责人姓名</w:t>
            </w:r>
          </w:p>
        </w:tc>
        <w:tc>
          <w:tcPr>
            <w:tcW w:w="7131" w:type="dxa"/>
            <w:gridSpan w:val="2"/>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2660" w:type="dxa"/>
            <w:noWrap w:val="0"/>
            <w:vAlign w:val="center"/>
          </w:tcPr>
          <w:p>
            <w:pPr>
              <w:jc w:val="center"/>
              <w:rPr>
                <w:rFonts w:ascii="宋体" w:hAnsi="宋体"/>
                <w:sz w:val="24"/>
                <w:szCs w:val="24"/>
              </w:rPr>
            </w:pPr>
            <w:r>
              <w:rPr>
                <w:rFonts w:hint="eastAsia" w:ascii="宋体" w:hAnsi="宋体"/>
                <w:sz w:val="24"/>
                <w:szCs w:val="24"/>
              </w:rPr>
              <w:t>施工负责人手机</w:t>
            </w:r>
          </w:p>
        </w:tc>
        <w:tc>
          <w:tcPr>
            <w:tcW w:w="7131" w:type="dxa"/>
            <w:gridSpan w:val="2"/>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2660" w:type="dxa"/>
            <w:noWrap w:val="0"/>
            <w:vAlign w:val="center"/>
          </w:tcPr>
          <w:p>
            <w:pPr>
              <w:jc w:val="center"/>
              <w:rPr>
                <w:rFonts w:ascii="宋体" w:hAnsi="宋体"/>
                <w:sz w:val="24"/>
                <w:szCs w:val="24"/>
              </w:rPr>
            </w:pPr>
            <w:r>
              <w:rPr>
                <w:rFonts w:hint="eastAsia" w:ascii="宋体" w:hAnsi="宋体"/>
                <w:sz w:val="24"/>
                <w:szCs w:val="24"/>
              </w:rPr>
              <w:t>押金金额</w:t>
            </w:r>
          </w:p>
        </w:tc>
        <w:tc>
          <w:tcPr>
            <w:tcW w:w="7131" w:type="dxa"/>
            <w:gridSpan w:val="2"/>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8" w:hRule="atLeast"/>
        </w:trPr>
        <w:tc>
          <w:tcPr>
            <w:tcW w:w="2660" w:type="dxa"/>
            <w:vMerge w:val="restart"/>
            <w:noWrap w:val="0"/>
            <w:vAlign w:val="center"/>
          </w:tcPr>
          <w:p>
            <w:pPr>
              <w:jc w:val="center"/>
              <w:rPr>
                <w:rFonts w:ascii="宋体" w:hAnsi="宋体"/>
                <w:sz w:val="24"/>
                <w:szCs w:val="24"/>
              </w:rPr>
            </w:pPr>
            <w:r>
              <w:rPr>
                <w:rFonts w:hint="eastAsia" w:ascii="宋体" w:hAnsi="宋体"/>
                <w:sz w:val="24"/>
                <w:szCs w:val="24"/>
              </w:rPr>
              <w:t>展位拆除情况</w:t>
            </w:r>
          </w:p>
        </w:tc>
        <w:tc>
          <w:tcPr>
            <w:tcW w:w="1701" w:type="dxa"/>
            <w:noWrap w:val="0"/>
            <w:vAlign w:val="center"/>
          </w:tcPr>
          <w:p>
            <w:pPr>
              <w:jc w:val="center"/>
              <w:rPr>
                <w:rFonts w:ascii="宋体" w:hAnsi="宋体"/>
                <w:sz w:val="24"/>
                <w:szCs w:val="24"/>
              </w:rPr>
            </w:pPr>
            <w:r>
              <w:rPr>
                <w:rFonts w:hint="eastAsia" w:ascii="宋体" w:hAnsi="宋体"/>
                <w:sz w:val="24"/>
                <w:szCs w:val="24"/>
              </w:rPr>
              <w:t>已清理干净</w:t>
            </w:r>
          </w:p>
        </w:tc>
        <w:tc>
          <w:tcPr>
            <w:tcW w:w="5430" w:type="dxa"/>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3" w:hRule="atLeast"/>
        </w:trPr>
        <w:tc>
          <w:tcPr>
            <w:tcW w:w="2660" w:type="dxa"/>
            <w:vMerge w:val="continue"/>
            <w:noWrap w:val="0"/>
            <w:vAlign w:val="center"/>
          </w:tcPr>
          <w:p>
            <w:pPr>
              <w:jc w:val="center"/>
              <w:rPr>
                <w:rFonts w:ascii="宋体" w:hAnsi="宋体"/>
                <w:sz w:val="24"/>
                <w:szCs w:val="24"/>
              </w:rPr>
            </w:pPr>
          </w:p>
        </w:tc>
        <w:tc>
          <w:tcPr>
            <w:tcW w:w="1701" w:type="dxa"/>
            <w:noWrap w:val="0"/>
            <w:vAlign w:val="center"/>
          </w:tcPr>
          <w:p>
            <w:pPr>
              <w:jc w:val="center"/>
              <w:rPr>
                <w:rFonts w:ascii="宋体" w:hAnsi="宋体"/>
                <w:sz w:val="24"/>
                <w:szCs w:val="24"/>
              </w:rPr>
            </w:pPr>
            <w:r>
              <w:rPr>
                <w:rFonts w:hint="eastAsia" w:ascii="宋体" w:hAnsi="宋体"/>
                <w:sz w:val="24"/>
                <w:szCs w:val="24"/>
              </w:rPr>
              <w:t>未清除干净</w:t>
            </w:r>
          </w:p>
        </w:tc>
        <w:tc>
          <w:tcPr>
            <w:tcW w:w="5430" w:type="dxa"/>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8" w:hRule="atLeast"/>
        </w:trPr>
        <w:tc>
          <w:tcPr>
            <w:tcW w:w="2660" w:type="dxa"/>
            <w:vMerge w:val="restart"/>
            <w:noWrap w:val="0"/>
            <w:vAlign w:val="center"/>
          </w:tcPr>
          <w:p>
            <w:pPr>
              <w:jc w:val="center"/>
              <w:rPr>
                <w:rFonts w:ascii="宋体" w:hAnsi="宋体"/>
                <w:sz w:val="24"/>
                <w:szCs w:val="24"/>
              </w:rPr>
            </w:pPr>
            <w:r>
              <w:rPr>
                <w:rFonts w:hint="eastAsia" w:ascii="宋体" w:hAnsi="宋体"/>
                <w:sz w:val="24"/>
                <w:szCs w:val="24"/>
              </w:rPr>
              <w:t>押金退还说明</w:t>
            </w:r>
          </w:p>
        </w:tc>
        <w:tc>
          <w:tcPr>
            <w:tcW w:w="1701" w:type="dxa"/>
            <w:noWrap w:val="0"/>
            <w:vAlign w:val="center"/>
          </w:tcPr>
          <w:p>
            <w:pPr>
              <w:jc w:val="center"/>
              <w:rPr>
                <w:rFonts w:ascii="宋体" w:hAnsi="宋体"/>
                <w:sz w:val="24"/>
                <w:szCs w:val="24"/>
              </w:rPr>
            </w:pPr>
            <w:r>
              <w:rPr>
                <w:rFonts w:hint="eastAsia" w:ascii="宋体" w:hAnsi="宋体"/>
                <w:sz w:val="24"/>
                <w:szCs w:val="24"/>
              </w:rPr>
              <w:t>全部退还</w:t>
            </w:r>
          </w:p>
        </w:tc>
        <w:tc>
          <w:tcPr>
            <w:tcW w:w="5430" w:type="dxa"/>
            <w:noWrap w:val="0"/>
            <w:vAlign w:val="center"/>
          </w:tcPr>
          <w:p>
            <w:pPr>
              <w:jc w:val="center"/>
              <w:rPr>
                <w:rFonts w:ascii="宋体" w:hAnsi="宋体"/>
                <w:sz w:val="24"/>
                <w:szCs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trPr>
        <w:tc>
          <w:tcPr>
            <w:tcW w:w="2660" w:type="dxa"/>
            <w:vMerge w:val="continue"/>
            <w:noWrap w:val="0"/>
            <w:vAlign w:val="center"/>
          </w:tcPr>
          <w:p>
            <w:pPr>
              <w:jc w:val="center"/>
              <w:rPr>
                <w:rFonts w:ascii="宋体" w:hAnsi="宋体"/>
                <w:sz w:val="24"/>
                <w:szCs w:val="24"/>
              </w:rPr>
            </w:pPr>
          </w:p>
        </w:tc>
        <w:tc>
          <w:tcPr>
            <w:tcW w:w="1701" w:type="dxa"/>
            <w:noWrap w:val="0"/>
            <w:vAlign w:val="center"/>
          </w:tcPr>
          <w:p>
            <w:pPr>
              <w:jc w:val="center"/>
              <w:rPr>
                <w:rFonts w:ascii="宋体" w:hAnsi="宋体"/>
                <w:sz w:val="24"/>
                <w:szCs w:val="24"/>
              </w:rPr>
            </w:pPr>
            <w:r>
              <w:rPr>
                <w:rFonts w:hint="eastAsia" w:ascii="宋体" w:hAnsi="宋体"/>
                <w:sz w:val="24"/>
                <w:szCs w:val="24"/>
              </w:rPr>
              <w:t>扣除金额</w:t>
            </w:r>
          </w:p>
        </w:tc>
        <w:tc>
          <w:tcPr>
            <w:tcW w:w="5430" w:type="dxa"/>
            <w:noWrap w:val="0"/>
            <w:vAlign w:val="center"/>
          </w:tcPr>
          <w:p>
            <w:pPr>
              <w:jc w:val="center"/>
              <w:rPr>
                <w:rFonts w:ascii="宋体" w:hAnsi="宋体"/>
                <w:sz w:val="24"/>
                <w:szCs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trPr>
        <w:tc>
          <w:tcPr>
            <w:tcW w:w="2660" w:type="dxa"/>
            <w:noWrap w:val="0"/>
            <w:vAlign w:val="center"/>
          </w:tcPr>
          <w:p>
            <w:pPr>
              <w:jc w:val="center"/>
              <w:rPr>
                <w:rFonts w:ascii="宋体" w:hAnsi="宋体"/>
                <w:sz w:val="24"/>
                <w:szCs w:val="24"/>
              </w:rPr>
            </w:pPr>
            <w:r>
              <w:rPr>
                <w:rFonts w:hint="eastAsia" w:ascii="宋体" w:hAnsi="宋体"/>
                <w:sz w:val="24"/>
                <w:szCs w:val="24"/>
              </w:rPr>
              <w:t>主场服务商负责人签字</w:t>
            </w:r>
          </w:p>
        </w:tc>
        <w:tc>
          <w:tcPr>
            <w:tcW w:w="7131" w:type="dxa"/>
            <w:gridSpan w:val="2"/>
            <w:noWrap w:val="0"/>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2660" w:type="dxa"/>
            <w:noWrap w:val="0"/>
            <w:vAlign w:val="center"/>
          </w:tcPr>
          <w:p>
            <w:pPr>
              <w:jc w:val="center"/>
              <w:rPr>
                <w:rFonts w:ascii="宋体" w:hAnsi="宋体"/>
                <w:sz w:val="24"/>
                <w:szCs w:val="24"/>
              </w:rPr>
            </w:pPr>
            <w:r>
              <w:rPr>
                <w:rFonts w:hint="eastAsia" w:ascii="宋体" w:hAnsi="宋体"/>
                <w:sz w:val="24"/>
                <w:szCs w:val="24"/>
              </w:rPr>
              <w:t>说 明</w:t>
            </w:r>
          </w:p>
        </w:tc>
        <w:tc>
          <w:tcPr>
            <w:tcW w:w="7131" w:type="dxa"/>
            <w:gridSpan w:val="2"/>
            <w:noWrap w:val="0"/>
            <w:vAlign w:val="center"/>
          </w:tcPr>
          <w:p>
            <w:pPr>
              <w:spacing w:line="276" w:lineRule="auto"/>
              <w:jc w:val="left"/>
              <w:rPr>
                <w:rFonts w:ascii="宋体" w:hAnsi="宋体"/>
                <w:sz w:val="24"/>
                <w:szCs w:val="24"/>
              </w:rPr>
            </w:pPr>
            <w:r>
              <w:rPr>
                <w:rFonts w:hint="eastAsia" w:ascii="宋体" w:hAnsi="宋体"/>
                <w:sz w:val="24"/>
                <w:szCs w:val="24"/>
              </w:rPr>
              <w:t>1、押金退还时必须持此凭据单。</w:t>
            </w:r>
          </w:p>
          <w:p>
            <w:pPr>
              <w:spacing w:line="276" w:lineRule="auto"/>
              <w:ind w:left="360" w:hanging="360" w:hangingChars="150"/>
              <w:jc w:val="left"/>
              <w:rPr>
                <w:rFonts w:ascii="宋体" w:hAnsi="宋体"/>
                <w:sz w:val="24"/>
                <w:szCs w:val="24"/>
              </w:rPr>
            </w:pPr>
            <w:r>
              <w:rPr>
                <w:rFonts w:hint="eastAsia" w:ascii="宋体" w:hAnsi="宋体"/>
                <w:sz w:val="24"/>
                <w:szCs w:val="24"/>
              </w:rPr>
              <w:t>2、展台施工材料及垃圾全部清理干净后，必须由主场服务商现场管理人员签字，方可退还押金。</w:t>
            </w:r>
          </w:p>
          <w:p>
            <w:pPr>
              <w:spacing w:line="276" w:lineRule="auto"/>
              <w:ind w:left="360" w:hanging="360" w:hangingChars="150"/>
              <w:jc w:val="left"/>
              <w:rPr>
                <w:rFonts w:ascii="宋体" w:hAnsi="宋体"/>
                <w:sz w:val="24"/>
                <w:szCs w:val="24"/>
              </w:rPr>
            </w:pPr>
            <w:r>
              <w:rPr>
                <w:rFonts w:hint="eastAsia" w:ascii="宋体" w:hAnsi="宋体"/>
                <w:sz w:val="24"/>
                <w:szCs w:val="24"/>
              </w:rPr>
              <w:t>3、如在整个展览期间发生任何安全事故、损坏展馆设施、乱扔废弃物等情况发生，相应的处罚金额将在押金中扣除。</w:t>
            </w:r>
          </w:p>
          <w:p>
            <w:pPr>
              <w:spacing w:line="276" w:lineRule="auto"/>
              <w:jc w:val="left"/>
              <w:rPr>
                <w:rFonts w:ascii="宋体" w:hAnsi="宋体"/>
                <w:sz w:val="24"/>
                <w:szCs w:val="24"/>
              </w:rPr>
            </w:pPr>
            <w:r>
              <w:rPr>
                <w:rFonts w:hint="eastAsia" w:ascii="宋体" w:hAnsi="宋体"/>
                <w:sz w:val="24"/>
                <w:szCs w:val="24"/>
              </w:rPr>
              <w:t>4、施工押金在撤展结束后</w:t>
            </w:r>
            <w:r>
              <w:rPr>
                <w:rFonts w:hint="eastAsia" w:ascii="宋体" w:hAnsi="宋体"/>
                <w:sz w:val="24"/>
                <w:szCs w:val="24"/>
                <w:lang w:val="en-US" w:eastAsia="zh-CN"/>
              </w:rPr>
              <w:t>三</w:t>
            </w:r>
            <w:r>
              <w:rPr>
                <w:rFonts w:hint="eastAsia" w:ascii="宋体" w:hAnsi="宋体"/>
                <w:sz w:val="24"/>
                <w:szCs w:val="24"/>
              </w:rPr>
              <w:t>十个工作日退还。</w:t>
            </w:r>
          </w:p>
          <w:p>
            <w:pPr>
              <w:spacing w:line="276" w:lineRule="auto"/>
              <w:jc w:val="left"/>
              <w:rPr>
                <w:rFonts w:ascii="宋体" w:hAnsi="宋体"/>
                <w:sz w:val="24"/>
                <w:szCs w:val="24"/>
              </w:rPr>
            </w:pPr>
            <w:r>
              <w:rPr>
                <w:rFonts w:hint="eastAsia" w:ascii="宋体" w:hAnsi="宋体"/>
                <w:sz w:val="24"/>
                <w:szCs w:val="24"/>
              </w:rPr>
              <w:t>5、押金只能按原账户退还不得更改，不允许以个人名义汇款。</w:t>
            </w:r>
          </w:p>
        </w:tc>
      </w:tr>
    </w:tbl>
    <w:p>
      <w:pPr>
        <w:pStyle w:val="26"/>
        <w:rPr>
          <w:rFonts w:ascii="等线" w:hAnsi="等线" w:eastAsia="等线" w:cs="新宋体"/>
          <w:szCs w:val="21"/>
        </w:rPr>
        <w:sectPr>
          <w:type w:val="continuous"/>
          <w:pgSz w:w="11906" w:h="16838"/>
          <w:pgMar w:top="850" w:right="1503" w:bottom="850" w:left="1321" w:header="851" w:footer="567" w:gutter="0"/>
          <w:cols w:space="0" w:num="1"/>
          <w:rtlGutter w:val="0"/>
          <w:docGrid w:type="lines" w:linePitch="312" w:charSpace="0"/>
        </w:sectPr>
      </w:pPr>
    </w:p>
    <w:p>
      <w:pPr>
        <w:pStyle w:val="26"/>
        <w:rPr>
          <w:rFonts w:hint="eastAsia" w:ascii="等线" w:hAnsi="等线" w:eastAsia="等线" w:cs="新宋体"/>
          <w:szCs w:val="21"/>
        </w:rPr>
      </w:pPr>
    </w:p>
    <w:sectPr>
      <w:type w:val="continuous"/>
      <w:pgSz w:w="11906" w:h="16838"/>
      <w:pgMar w:top="850" w:right="1503" w:bottom="850" w:left="1321" w:header="851" w:footer="567"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大黑简体">
    <w:altName w:val="黑体"/>
    <w:panose1 w:val="00000000000000000000"/>
    <w:charset w:val="86"/>
    <w:family w:val="auto"/>
    <w:pitch w:val="default"/>
    <w:sig w:usb0="00000000" w:usb1="00000000" w:usb2="00000012" w:usb3="00000000" w:csb0="00060007"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宋体'黑简体">
    <w:altName w:val="宋体"/>
    <w:panose1 w:val="00000000000000000000"/>
    <w:charset w:val="86"/>
    <w:family w:val="auto"/>
    <w:pitch w:val="default"/>
    <w:sig w:usb0="00000000" w:usb1="00000000" w:usb2="00000010" w:usb3="00000000" w:csb0="00040000" w:csb1="00000000"/>
  </w:font>
  <w:font w:name="STXinwei-Identity-H">
    <w:altName w:val="黑体"/>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Adobe 黑体 Std R">
    <w:panose1 w:val="020B0400000000000000"/>
    <w:charset w:val="86"/>
    <w:family w:val="swiss"/>
    <w:pitch w:val="default"/>
    <w:sig w:usb0="00000001" w:usb1="0A0F1810" w:usb2="00000016" w:usb3="00000000" w:csb0="00060007"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p>
    <w:pP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rPr>
        <w:rFonts w:hint="eastAsia" w:ascii="宋体" w:hAnsi="宋体" w:eastAsia="宋体" w:cs="宋体"/>
        <w:szCs w:val="21"/>
        <w:lang w:val="en-US" w:eastAsia="zh-CN"/>
      </w:rPr>
    </w:pPr>
    <w:r>
      <w:rPr>
        <w:rFonts w:hint="eastAsia"/>
      </w:rPr>
      <w:t xml:space="preserve">       </w:t>
    </w:r>
    <w:r>
      <w:rPr>
        <w:rFonts w:hint="eastAsia" w:ascii="宋体" w:hAnsi="宋体" w:cs="宋体"/>
        <w:szCs w:val="21"/>
      </w:rPr>
      <w:t xml:space="preserve">                        </w:t>
    </w:r>
    <w:r>
      <w:rPr>
        <w:rFonts w:hint="eastAsia" w:ascii="宋体" w:hAnsi="宋体" w:cs="宋体"/>
        <w:szCs w:val="21"/>
        <w:lang w:val="en-US" w:eastAsia="zh-CN"/>
      </w:rPr>
      <w:t>2019第三届中国（厦门）国际绿色建筑产业博览会（福建地坪展）</w:t>
    </w:r>
  </w:p>
  <w:p>
    <w:pPr>
      <w:spacing w:line="240" w:lineRule="auto"/>
      <w:rPr>
        <w:rFonts w:ascii="Adobe 黑体 Std R" w:hAnsi="Adobe 黑体 Std R" w:eastAsia="Adobe 黑体 Std R"/>
      </w:rPr>
    </w:pPr>
    <w:r>
      <w:rPr>
        <w:rFonts w:hint="eastAsia" w:ascii="宋体" w:hAnsi="宋体" w:cs="宋体"/>
        <w:szCs w:val="2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DD5563"/>
    <w:multiLevelType w:val="singleLevel"/>
    <w:tmpl w:val="C1DD5563"/>
    <w:lvl w:ilvl="0" w:tentative="0">
      <w:start w:val="1"/>
      <w:numFmt w:val="decimal"/>
      <w:suff w:val="nothing"/>
      <w:lvlText w:val="%1）"/>
      <w:lvlJc w:val="left"/>
      <w:pPr>
        <w:ind w:left="480" w:firstLine="0"/>
      </w:pPr>
    </w:lvl>
  </w:abstractNum>
  <w:abstractNum w:abstractNumId="1">
    <w:nsid w:val="002E2267"/>
    <w:multiLevelType w:val="multilevel"/>
    <w:tmpl w:val="002E2267"/>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2">
    <w:nsid w:val="077536B7"/>
    <w:multiLevelType w:val="multilevel"/>
    <w:tmpl w:val="077536B7"/>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
    <w:nsid w:val="09DD062F"/>
    <w:multiLevelType w:val="multilevel"/>
    <w:tmpl w:val="09DD062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1F8C06D7"/>
    <w:multiLevelType w:val="multilevel"/>
    <w:tmpl w:val="1F8C06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803610E"/>
    <w:multiLevelType w:val="multilevel"/>
    <w:tmpl w:val="4803610E"/>
    <w:lvl w:ilvl="0" w:tentative="0">
      <w:start w:val="1"/>
      <w:numFmt w:val="bullet"/>
      <w:lvlText w:val=""/>
      <w:lvlJc w:val="left"/>
      <w:pPr>
        <w:ind w:left="1320" w:hanging="480"/>
      </w:pPr>
      <w:rPr>
        <w:rFonts w:hint="default" w:ascii="Wingdings" w:hAnsi="Wingdings"/>
      </w:rPr>
    </w:lvl>
    <w:lvl w:ilvl="1" w:tentative="0">
      <w:start w:val="1"/>
      <w:numFmt w:val="bullet"/>
      <w:lvlText w:val=""/>
      <w:lvlJc w:val="left"/>
      <w:pPr>
        <w:ind w:left="1800" w:hanging="480"/>
      </w:pPr>
      <w:rPr>
        <w:rFonts w:hint="default" w:ascii="Wingdings" w:hAnsi="Wingdings"/>
      </w:rPr>
    </w:lvl>
    <w:lvl w:ilvl="2" w:tentative="0">
      <w:start w:val="1"/>
      <w:numFmt w:val="bullet"/>
      <w:lvlText w:val=""/>
      <w:lvlJc w:val="left"/>
      <w:pPr>
        <w:ind w:left="2280" w:hanging="480"/>
      </w:pPr>
      <w:rPr>
        <w:rFonts w:hint="default" w:ascii="Wingdings" w:hAnsi="Wingdings"/>
      </w:rPr>
    </w:lvl>
    <w:lvl w:ilvl="3" w:tentative="0">
      <w:start w:val="1"/>
      <w:numFmt w:val="bullet"/>
      <w:lvlText w:val=""/>
      <w:lvlJc w:val="left"/>
      <w:pPr>
        <w:ind w:left="2760" w:hanging="480"/>
      </w:pPr>
      <w:rPr>
        <w:rFonts w:hint="default" w:ascii="Wingdings" w:hAnsi="Wingdings"/>
      </w:rPr>
    </w:lvl>
    <w:lvl w:ilvl="4" w:tentative="0">
      <w:start w:val="1"/>
      <w:numFmt w:val="bullet"/>
      <w:lvlText w:val=""/>
      <w:lvlJc w:val="left"/>
      <w:pPr>
        <w:ind w:left="3240" w:hanging="480"/>
      </w:pPr>
      <w:rPr>
        <w:rFonts w:hint="default" w:ascii="Wingdings" w:hAnsi="Wingdings"/>
      </w:rPr>
    </w:lvl>
    <w:lvl w:ilvl="5" w:tentative="0">
      <w:start w:val="1"/>
      <w:numFmt w:val="bullet"/>
      <w:lvlText w:val=""/>
      <w:lvlJc w:val="left"/>
      <w:pPr>
        <w:ind w:left="3720" w:hanging="480"/>
      </w:pPr>
      <w:rPr>
        <w:rFonts w:hint="default" w:ascii="Wingdings" w:hAnsi="Wingdings"/>
      </w:rPr>
    </w:lvl>
    <w:lvl w:ilvl="6" w:tentative="0">
      <w:start w:val="1"/>
      <w:numFmt w:val="bullet"/>
      <w:lvlText w:val=""/>
      <w:lvlJc w:val="left"/>
      <w:pPr>
        <w:ind w:left="4200" w:hanging="480"/>
      </w:pPr>
      <w:rPr>
        <w:rFonts w:hint="default" w:ascii="Wingdings" w:hAnsi="Wingdings"/>
      </w:rPr>
    </w:lvl>
    <w:lvl w:ilvl="7" w:tentative="0">
      <w:start w:val="1"/>
      <w:numFmt w:val="bullet"/>
      <w:lvlText w:val=""/>
      <w:lvlJc w:val="left"/>
      <w:pPr>
        <w:ind w:left="4680" w:hanging="480"/>
      </w:pPr>
      <w:rPr>
        <w:rFonts w:hint="default" w:ascii="Wingdings" w:hAnsi="Wingdings"/>
      </w:rPr>
    </w:lvl>
    <w:lvl w:ilvl="8" w:tentative="0">
      <w:start w:val="1"/>
      <w:numFmt w:val="bullet"/>
      <w:lvlText w:val=""/>
      <w:lvlJc w:val="left"/>
      <w:pPr>
        <w:ind w:left="5160" w:hanging="480"/>
      </w:pPr>
      <w:rPr>
        <w:rFonts w:hint="default" w:ascii="Wingdings" w:hAnsi="Wingdings"/>
      </w:rPr>
    </w:lvl>
  </w:abstractNum>
  <w:abstractNum w:abstractNumId="6">
    <w:nsid w:val="5263677B"/>
    <w:multiLevelType w:val="multilevel"/>
    <w:tmpl w:val="5263677B"/>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
    <w:nsid w:val="52D67C43"/>
    <w:multiLevelType w:val="singleLevel"/>
    <w:tmpl w:val="52D67C43"/>
    <w:lvl w:ilvl="0" w:tentative="0">
      <w:start w:val="40"/>
      <w:numFmt w:val="decimal"/>
      <w:suff w:val="nothing"/>
      <w:lvlText w:val="%1）"/>
      <w:lvlJc w:val="left"/>
      <w:pPr>
        <w:ind w:left="360" w:firstLine="0"/>
      </w:pPr>
    </w:lvl>
  </w:abstractNum>
  <w:abstractNum w:abstractNumId="8">
    <w:nsid w:val="58FB4DF2"/>
    <w:multiLevelType w:val="multilevel"/>
    <w:tmpl w:val="58FB4DF2"/>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9">
    <w:nsid w:val="5A6805DB"/>
    <w:multiLevelType w:val="multilevel"/>
    <w:tmpl w:val="5A6805DB"/>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0">
    <w:nsid w:val="6FCC3C9E"/>
    <w:multiLevelType w:val="multilevel"/>
    <w:tmpl w:val="6FCC3C9E"/>
    <w:lvl w:ilvl="0" w:tentative="0">
      <w:start w:val="1"/>
      <w:numFmt w:val="decimal"/>
      <w:lvlText w:val="%1."/>
      <w:lvlJc w:val="left"/>
      <w:pPr>
        <w:ind w:left="360" w:hanging="360"/>
      </w:pPr>
      <w:rPr>
        <w:rFonts w:hint="eastAsia"/>
      </w:rPr>
    </w:lvl>
    <w:lvl w:ilvl="1" w:tentative="0">
      <w:start w:val="1"/>
      <w:numFmt w:val="decimal"/>
      <w:isLgl/>
      <w:lvlText w:val="%1.%2"/>
      <w:lvlJc w:val="left"/>
      <w:pPr>
        <w:ind w:left="480" w:hanging="480"/>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1080" w:hanging="1080"/>
      </w:pPr>
      <w:rPr>
        <w:rFonts w:hint="eastAsia"/>
      </w:rPr>
    </w:lvl>
    <w:lvl w:ilvl="4" w:tentative="0">
      <w:start w:val="1"/>
      <w:numFmt w:val="decimal"/>
      <w:isLgl/>
      <w:lvlText w:val="%1.%2.%3.%4.%5"/>
      <w:lvlJc w:val="left"/>
      <w:pPr>
        <w:ind w:left="1080" w:hanging="1080"/>
      </w:pPr>
      <w:rPr>
        <w:rFonts w:hint="eastAsia"/>
      </w:rPr>
    </w:lvl>
    <w:lvl w:ilvl="5" w:tentative="0">
      <w:start w:val="1"/>
      <w:numFmt w:val="decimal"/>
      <w:isLgl/>
      <w:lvlText w:val="%1.%2.%3.%4.%5.%6"/>
      <w:lvlJc w:val="left"/>
      <w:pPr>
        <w:ind w:left="1440" w:hanging="1440"/>
      </w:pPr>
      <w:rPr>
        <w:rFonts w:hint="eastAsia"/>
      </w:rPr>
    </w:lvl>
    <w:lvl w:ilvl="6" w:tentative="0">
      <w:start w:val="1"/>
      <w:numFmt w:val="decimal"/>
      <w:isLgl/>
      <w:lvlText w:val="%1.%2.%3.%4.%5.%6.%7"/>
      <w:lvlJc w:val="left"/>
      <w:pPr>
        <w:ind w:left="1800" w:hanging="1800"/>
      </w:pPr>
      <w:rPr>
        <w:rFonts w:hint="eastAsia"/>
      </w:rPr>
    </w:lvl>
    <w:lvl w:ilvl="7" w:tentative="0">
      <w:start w:val="1"/>
      <w:numFmt w:val="decimal"/>
      <w:isLgl/>
      <w:lvlText w:val="%1.%2.%3.%4.%5.%6.%7.%8"/>
      <w:lvlJc w:val="left"/>
      <w:pPr>
        <w:ind w:left="1800" w:hanging="1800"/>
      </w:pPr>
      <w:rPr>
        <w:rFonts w:hint="eastAsia"/>
      </w:rPr>
    </w:lvl>
    <w:lvl w:ilvl="8" w:tentative="0">
      <w:start w:val="1"/>
      <w:numFmt w:val="decimal"/>
      <w:isLgl/>
      <w:lvlText w:val="%1.%2.%3.%4.%5.%6.%7.%8.%9"/>
      <w:lvlJc w:val="left"/>
      <w:pPr>
        <w:ind w:left="2160" w:hanging="2160"/>
      </w:pPr>
      <w:rPr>
        <w:rFonts w:hint="eastAsia"/>
      </w:rPr>
    </w:lvl>
  </w:abstractNum>
  <w:abstractNum w:abstractNumId="11">
    <w:nsid w:val="74552BE1"/>
    <w:multiLevelType w:val="multilevel"/>
    <w:tmpl w:val="74552BE1"/>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2">
    <w:nsid w:val="746C28E4"/>
    <w:multiLevelType w:val="multilevel"/>
    <w:tmpl w:val="746C28E4"/>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num w:numId="1">
    <w:abstractNumId w:val="10"/>
  </w:num>
  <w:num w:numId="2">
    <w:abstractNumId w:val="0"/>
  </w:num>
  <w:num w:numId="3">
    <w:abstractNumId w:val="5"/>
  </w:num>
  <w:num w:numId="4">
    <w:abstractNumId w:val="1"/>
  </w:num>
  <w:num w:numId="5">
    <w:abstractNumId w:val="8"/>
  </w:num>
  <w:num w:numId="6">
    <w:abstractNumId w:val="7"/>
  </w:num>
  <w:num w:numId="7">
    <w:abstractNumId w:val="3"/>
  </w:num>
  <w:num w:numId="8">
    <w:abstractNumId w:val="4"/>
  </w:num>
  <w:num w:numId="9">
    <w:abstractNumId w:val="2"/>
  </w:num>
  <w:num w:numId="10">
    <w:abstractNumId w:val="12"/>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61"/>
    <w:rsid w:val="000002E8"/>
    <w:rsid w:val="0000036A"/>
    <w:rsid w:val="00001657"/>
    <w:rsid w:val="00001E6D"/>
    <w:rsid w:val="0000258C"/>
    <w:rsid w:val="000034D4"/>
    <w:rsid w:val="00003851"/>
    <w:rsid w:val="00003AA7"/>
    <w:rsid w:val="00004426"/>
    <w:rsid w:val="00005F31"/>
    <w:rsid w:val="000066E8"/>
    <w:rsid w:val="00010258"/>
    <w:rsid w:val="000110E3"/>
    <w:rsid w:val="00012B67"/>
    <w:rsid w:val="000149D2"/>
    <w:rsid w:val="0001525E"/>
    <w:rsid w:val="000158DC"/>
    <w:rsid w:val="00016056"/>
    <w:rsid w:val="0001649C"/>
    <w:rsid w:val="00016704"/>
    <w:rsid w:val="00017D0A"/>
    <w:rsid w:val="00020275"/>
    <w:rsid w:val="000225AA"/>
    <w:rsid w:val="00022656"/>
    <w:rsid w:val="00022AF6"/>
    <w:rsid w:val="00022F1B"/>
    <w:rsid w:val="00023C6A"/>
    <w:rsid w:val="00026232"/>
    <w:rsid w:val="000265F2"/>
    <w:rsid w:val="00026A57"/>
    <w:rsid w:val="00027EE3"/>
    <w:rsid w:val="0003049A"/>
    <w:rsid w:val="00030B3F"/>
    <w:rsid w:val="00030BF1"/>
    <w:rsid w:val="00030EEB"/>
    <w:rsid w:val="00031BA9"/>
    <w:rsid w:val="00032529"/>
    <w:rsid w:val="000332B8"/>
    <w:rsid w:val="000338D9"/>
    <w:rsid w:val="0003400E"/>
    <w:rsid w:val="00034D60"/>
    <w:rsid w:val="00034D74"/>
    <w:rsid w:val="0003510E"/>
    <w:rsid w:val="000354B2"/>
    <w:rsid w:val="00035629"/>
    <w:rsid w:val="00036918"/>
    <w:rsid w:val="00036E15"/>
    <w:rsid w:val="00040AD3"/>
    <w:rsid w:val="00040BB9"/>
    <w:rsid w:val="0004109A"/>
    <w:rsid w:val="000419A3"/>
    <w:rsid w:val="00042A67"/>
    <w:rsid w:val="000431B0"/>
    <w:rsid w:val="00043663"/>
    <w:rsid w:val="00044001"/>
    <w:rsid w:val="0004461D"/>
    <w:rsid w:val="00044A65"/>
    <w:rsid w:val="00045558"/>
    <w:rsid w:val="000465C5"/>
    <w:rsid w:val="000469F6"/>
    <w:rsid w:val="00046A18"/>
    <w:rsid w:val="00046D77"/>
    <w:rsid w:val="0005096A"/>
    <w:rsid w:val="00052616"/>
    <w:rsid w:val="000529A1"/>
    <w:rsid w:val="0005327E"/>
    <w:rsid w:val="00055950"/>
    <w:rsid w:val="0005659C"/>
    <w:rsid w:val="000568E4"/>
    <w:rsid w:val="00057225"/>
    <w:rsid w:val="000577FB"/>
    <w:rsid w:val="000601B0"/>
    <w:rsid w:val="00060747"/>
    <w:rsid w:val="000625E9"/>
    <w:rsid w:val="00062CF6"/>
    <w:rsid w:val="00062F9E"/>
    <w:rsid w:val="0006307D"/>
    <w:rsid w:val="0006357F"/>
    <w:rsid w:val="000637A4"/>
    <w:rsid w:val="000650E0"/>
    <w:rsid w:val="0006550D"/>
    <w:rsid w:val="00065EEB"/>
    <w:rsid w:val="00070AD6"/>
    <w:rsid w:val="000713D0"/>
    <w:rsid w:val="00071EBB"/>
    <w:rsid w:val="00072007"/>
    <w:rsid w:val="000726B1"/>
    <w:rsid w:val="00072B22"/>
    <w:rsid w:val="000733E1"/>
    <w:rsid w:val="000738FA"/>
    <w:rsid w:val="00073F6D"/>
    <w:rsid w:val="000749FE"/>
    <w:rsid w:val="00074D4E"/>
    <w:rsid w:val="00075E20"/>
    <w:rsid w:val="00076C0E"/>
    <w:rsid w:val="000773F0"/>
    <w:rsid w:val="000775D4"/>
    <w:rsid w:val="000778A4"/>
    <w:rsid w:val="0008043F"/>
    <w:rsid w:val="0008359B"/>
    <w:rsid w:val="00083C14"/>
    <w:rsid w:val="0008447B"/>
    <w:rsid w:val="000844DF"/>
    <w:rsid w:val="00084621"/>
    <w:rsid w:val="00084CEB"/>
    <w:rsid w:val="000862C2"/>
    <w:rsid w:val="00086BF8"/>
    <w:rsid w:val="00087BBB"/>
    <w:rsid w:val="00087F0F"/>
    <w:rsid w:val="00090427"/>
    <w:rsid w:val="0009054E"/>
    <w:rsid w:val="000910DD"/>
    <w:rsid w:val="000928EE"/>
    <w:rsid w:val="000931A8"/>
    <w:rsid w:val="00093CC0"/>
    <w:rsid w:val="000941DC"/>
    <w:rsid w:val="00094759"/>
    <w:rsid w:val="00095682"/>
    <w:rsid w:val="00095B59"/>
    <w:rsid w:val="000968CD"/>
    <w:rsid w:val="000A0BCB"/>
    <w:rsid w:val="000A1C2D"/>
    <w:rsid w:val="000A2CB8"/>
    <w:rsid w:val="000A4509"/>
    <w:rsid w:val="000A4890"/>
    <w:rsid w:val="000A5242"/>
    <w:rsid w:val="000A524F"/>
    <w:rsid w:val="000A6DED"/>
    <w:rsid w:val="000A7370"/>
    <w:rsid w:val="000B49AC"/>
    <w:rsid w:val="000B5412"/>
    <w:rsid w:val="000B65A2"/>
    <w:rsid w:val="000B7928"/>
    <w:rsid w:val="000B7E98"/>
    <w:rsid w:val="000C0093"/>
    <w:rsid w:val="000C1614"/>
    <w:rsid w:val="000C22C5"/>
    <w:rsid w:val="000C2BDE"/>
    <w:rsid w:val="000C2FF0"/>
    <w:rsid w:val="000C3664"/>
    <w:rsid w:val="000C406B"/>
    <w:rsid w:val="000C4142"/>
    <w:rsid w:val="000C4291"/>
    <w:rsid w:val="000C6399"/>
    <w:rsid w:val="000C6E86"/>
    <w:rsid w:val="000C753C"/>
    <w:rsid w:val="000D0BF3"/>
    <w:rsid w:val="000D1E35"/>
    <w:rsid w:val="000D22AA"/>
    <w:rsid w:val="000D2DCB"/>
    <w:rsid w:val="000D2EFB"/>
    <w:rsid w:val="000D3254"/>
    <w:rsid w:val="000D3B15"/>
    <w:rsid w:val="000D4608"/>
    <w:rsid w:val="000D471D"/>
    <w:rsid w:val="000D50C1"/>
    <w:rsid w:val="000D54AE"/>
    <w:rsid w:val="000D56ED"/>
    <w:rsid w:val="000D5AC6"/>
    <w:rsid w:val="000D6B05"/>
    <w:rsid w:val="000D7199"/>
    <w:rsid w:val="000D7738"/>
    <w:rsid w:val="000D799D"/>
    <w:rsid w:val="000D7E1E"/>
    <w:rsid w:val="000E0ABD"/>
    <w:rsid w:val="000E1694"/>
    <w:rsid w:val="000E1D38"/>
    <w:rsid w:val="000E1F5E"/>
    <w:rsid w:val="000E28CB"/>
    <w:rsid w:val="000E3046"/>
    <w:rsid w:val="000E3270"/>
    <w:rsid w:val="000E343E"/>
    <w:rsid w:val="000E346D"/>
    <w:rsid w:val="000E3956"/>
    <w:rsid w:val="000E4CD0"/>
    <w:rsid w:val="000E4DB8"/>
    <w:rsid w:val="000E4EBF"/>
    <w:rsid w:val="000E6881"/>
    <w:rsid w:val="000E77DA"/>
    <w:rsid w:val="000E7C75"/>
    <w:rsid w:val="000F039A"/>
    <w:rsid w:val="000F05A3"/>
    <w:rsid w:val="000F0A72"/>
    <w:rsid w:val="000F0BE8"/>
    <w:rsid w:val="000F0FB4"/>
    <w:rsid w:val="000F14BF"/>
    <w:rsid w:val="000F1534"/>
    <w:rsid w:val="000F26AA"/>
    <w:rsid w:val="000F2923"/>
    <w:rsid w:val="000F2FA7"/>
    <w:rsid w:val="000F4835"/>
    <w:rsid w:val="000F58D1"/>
    <w:rsid w:val="000F663A"/>
    <w:rsid w:val="000F7C32"/>
    <w:rsid w:val="000F7D3E"/>
    <w:rsid w:val="00101231"/>
    <w:rsid w:val="00102861"/>
    <w:rsid w:val="001031D9"/>
    <w:rsid w:val="00103A1E"/>
    <w:rsid w:val="00104386"/>
    <w:rsid w:val="001057AC"/>
    <w:rsid w:val="00105A97"/>
    <w:rsid w:val="00105E16"/>
    <w:rsid w:val="00106D32"/>
    <w:rsid w:val="0011021C"/>
    <w:rsid w:val="00110422"/>
    <w:rsid w:val="00110597"/>
    <w:rsid w:val="001105BD"/>
    <w:rsid w:val="0011116E"/>
    <w:rsid w:val="0011135C"/>
    <w:rsid w:val="00111951"/>
    <w:rsid w:val="00111B35"/>
    <w:rsid w:val="00112303"/>
    <w:rsid w:val="00112D71"/>
    <w:rsid w:val="00113EC2"/>
    <w:rsid w:val="00114BD8"/>
    <w:rsid w:val="00115033"/>
    <w:rsid w:val="0011527E"/>
    <w:rsid w:val="0011534B"/>
    <w:rsid w:val="001153C1"/>
    <w:rsid w:val="001154CF"/>
    <w:rsid w:val="001162A9"/>
    <w:rsid w:val="001163AB"/>
    <w:rsid w:val="00116A5B"/>
    <w:rsid w:val="00116A6B"/>
    <w:rsid w:val="00117F3A"/>
    <w:rsid w:val="0012008C"/>
    <w:rsid w:val="0012023B"/>
    <w:rsid w:val="00120C34"/>
    <w:rsid w:val="00121117"/>
    <w:rsid w:val="00122FA5"/>
    <w:rsid w:val="001242D3"/>
    <w:rsid w:val="00124AA5"/>
    <w:rsid w:val="00124CE6"/>
    <w:rsid w:val="00127153"/>
    <w:rsid w:val="0012767A"/>
    <w:rsid w:val="00127E28"/>
    <w:rsid w:val="00131CF4"/>
    <w:rsid w:val="00132623"/>
    <w:rsid w:val="00133F7C"/>
    <w:rsid w:val="00135144"/>
    <w:rsid w:val="00135925"/>
    <w:rsid w:val="00135951"/>
    <w:rsid w:val="001364DB"/>
    <w:rsid w:val="001371DD"/>
    <w:rsid w:val="001400F3"/>
    <w:rsid w:val="001402B4"/>
    <w:rsid w:val="001402F2"/>
    <w:rsid w:val="00140495"/>
    <w:rsid w:val="00141431"/>
    <w:rsid w:val="00142065"/>
    <w:rsid w:val="00142963"/>
    <w:rsid w:val="00142B0D"/>
    <w:rsid w:val="00142B66"/>
    <w:rsid w:val="0014425F"/>
    <w:rsid w:val="0014470A"/>
    <w:rsid w:val="00147085"/>
    <w:rsid w:val="0014708C"/>
    <w:rsid w:val="00147161"/>
    <w:rsid w:val="00147221"/>
    <w:rsid w:val="00147D8C"/>
    <w:rsid w:val="00151ADD"/>
    <w:rsid w:val="001520D8"/>
    <w:rsid w:val="0015245B"/>
    <w:rsid w:val="00153E55"/>
    <w:rsid w:val="001557D0"/>
    <w:rsid w:val="00155DC4"/>
    <w:rsid w:val="001571F1"/>
    <w:rsid w:val="00157283"/>
    <w:rsid w:val="001604BC"/>
    <w:rsid w:val="001609E8"/>
    <w:rsid w:val="00160B05"/>
    <w:rsid w:val="00161320"/>
    <w:rsid w:val="001628C0"/>
    <w:rsid w:val="00162DCD"/>
    <w:rsid w:val="00163B01"/>
    <w:rsid w:val="0016455B"/>
    <w:rsid w:val="001646FD"/>
    <w:rsid w:val="001651E0"/>
    <w:rsid w:val="0016581E"/>
    <w:rsid w:val="00167EBF"/>
    <w:rsid w:val="00170387"/>
    <w:rsid w:val="00171D8A"/>
    <w:rsid w:val="001721E7"/>
    <w:rsid w:val="00172888"/>
    <w:rsid w:val="00172A27"/>
    <w:rsid w:val="00172E9D"/>
    <w:rsid w:val="0017330B"/>
    <w:rsid w:val="00173F45"/>
    <w:rsid w:val="00174688"/>
    <w:rsid w:val="0017518D"/>
    <w:rsid w:val="001756B9"/>
    <w:rsid w:val="00175DFA"/>
    <w:rsid w:val="00176534"/>
    <w:rsid w:val="00176CD6"/>
    <w:rsid w:val="00176CF2"/>
    <w:rsid w:val="00180983"/>
    <w:rsid w:val="00181736"/>
    <w:rsid w:val="00181D6B"/>
    <w:rsid w:val="00182149"/>
    <w:rsid w:val="00184A0F"/>
    <w:rsid w:val="00185AA3"/>
    <w:rsid w:val="00186ED3"/>
    <w:rsid w:val="00190B03"/>
    <w:rsid w:val="00191CDB"/>
    <w:rsid w:val="0019202A"/>
    <w:rsid w:val="00192E48"/>
    <w:rsid w:val="0019494B"/>
    <w:rsid w:val="00194972"/>
    <w:rsid w:val="00194D05"/>
    <w:rsid w:val="00195B1E"/>
    <w:rsid w:val="00195C67"/>
    <w:rsid w:val="00196159"/>
    <w:rsid w:val="001969FE"/>
    <w:rsid w:val="001A0893"/>
    <w:rsid w:val="001A0EED"/>
    <w:rsid w:val="001A123E"/>
    <w:rsid w:val="001A157E"/>
    <w:rsid w:val="001A2AF7"/>
    <w:rsid w:val="001A3280"/>
    <w:rsid w:val="001A493C"/>
    <w:rsid w:val="001A5C89"/>
    <w:rsid w:val="001A6B84"/>
    <w:rsid w:val="001B0138"/>
    <w:rsid w:val="001B01D3"/>
    <w:rsid w:val="001B0DE2"/>
    <w:rsid w:val="001B10E0"/>
    <w:rsid w:val="001B11EA"/>
    <w:rsid w:val="001B1680"/>
    <w:rsid w:val="001B1763"/>
    <w:rsid w:val="001B2256"/>
    <w:rsid w:val="001B23B0"/>
    <w:rsid w:val="001B2A58"/>
    <w:rsid w:val="001B2E74"/>
    <w:rsid w:val="001B31BF"/>
    <w:rsid w:val="001B5466"/>
    <w:rsid w:val="001B59AC"/>
    <w:rsid w:val="001B657D"/>
    <w:rsid w:val="001B6C71"/>
    <w:rsid w:val="001B75D1"/>
    <w:rsid w:val="001C03B4"/>
    <w:rsid w:val="001C04F4"/>
    <w:rsid w:val="001C081C"/>
    <w:rsid w:val="001C1C64"/>
    <w:rsid w:val="001C2512"/>
    <w:rsid w:val="001C28BD"/>
    <w:rsid w:val="001C2C38"/>
    <w:rsid w:val="001C2C9F"/>
    <w:rsid w:val="001C3058"/>
    <w:rsid w:val="001C3667"/>
    <w:rsid w:val="001C3A08"/>
    <w:rsid w:val="001C4B8A"/>
    <w:rsid w:val="001C5626"/>
    <w:rsid w:val="001C5DB7"/>
    <w:rsid w:val="001C5F38"/>
    <w:rsid w:val="001C7BED"/>
    <w:rsid w:val="001D1428"/>
    <w:rsid w:val="001D1435"/>
    <w:rsid w:val="001D16ED"/>
    <w:rsid w:val="001D1DDC"/>
    <w:rsid w:val="001D1EC8"/>
    <w:rsid w:val="001D3360"/>
    <w:rsid w:val="001D4C57"/>
    <w:rsid w:val="001D5185"/>
    <w:rsid w:val="001D7016"/>
    <w:rsid w:val="001D7430"/>
    <w:rsid w:val="001D79C3"/>
    <w:rsid w:val="001E03E5"/>
    <w:rsid w:val="001E2A7A"/>
    <w:rsid w:val="001E3667"/>
    <w:rsid w:val="001E3D78"/>
    <w:rsid w:val="001E42DF"/>
    <w:rsid w:val="001E4644"/>
    <w:rsid w:val="001E52E3"/>
    <w:rsid w:val="001E5C15"/>
    <w:rsid w:val="001E657E"/>
    <w:rsid w:val="001E6A37"/>
    <w:rsid w:val="001E7E02"/>
    <w:rsid w:val="001F07A1"/>
    <w:rsid w:val="001F108F"/>
    <w:rsid w:val="001F2EB6"/>
    <w:rsid w:val="001F39A2"/>
    <w:rsid w:val="001F50B3"/>
    <w:rsid w:val="001F5472"/>
    <w:rsid w:val="001F5FF5"/>
    <w:rsid w:val="001F64F0"/>
    <w:rsid w:val="00200197"/>
    <w:rsid w:val="0020035B"/>
    <w:rsid w:val="002004D7"/>
    <w:rsid w:val="00200B47"/>
    <w:rsid w:val="00200D00"/>
    <w:rsid w:val="00200F36"/>
    <w:rsid w:val="0020167A"/>
    <w:rsid w:val="00202058"/>
    <w:rsid w:val="00202599"/>
    <w:rsid w:val="002027B6"/>
    <w:rsid w:val="00204EC4"/>
    <w:rsid w:val="00206B6E"/>
    <w:rsid w:val="002115AA"/>
    <w:rsid w:val="002118A8"/>
    <w:rsid w:val="00211D64"/>
    <w:rsid w:val="0021267E"/>
    <w:rsid w:val="00214073"/>
    <w:rsid w:val="0021480C"/>
    <w:rsid w:val="00215F02"/>
    <w:rsid w:val="0021670B"/>
    <w:rsid w:val="00216B48"/>
    <w:rsid w:val="00216C2C"/>
    <w:rsid w:val="00217A15"/>
    <w:rsid w:val="002213A0"/>
    <w:rsid w:val="002222DC"/>
    <w:rsid w:val="002246F4"/>
    <w:rsid w:val="002254E2"/>
    <w:rsid w:val="00226AFF"/>
    <w:rsid w:val="00227A58"/>
    <w:rsid w:val="002307CE"/>
    <w:rsid w:val="00230FFF"/>
    <w:rsid w:val="00231923"/>
    <w:rsid w:val="0023282A"/>
    <w:rsid w:val="00232DA4"/>
    <w:rsid w:val="00232EEB"/>
    <w:rsid w:val="002331F7"/>
    <w:rsid w:val="00233913"/>
    <w:rsid w:val="00233BB0"/>
    <w:rsid w:val="0023581E"/>
    <w:rsid w:val="00235B98"/>
    <w:rsid w:val="002365C4"/>
    <w:rsid w:val="00236720"/>
    <w:rsid w:val="00240BB4"/>
    <w:rsid w:val="00240F30"/>
    <w:rsid w:val="00241996"/>
    <w:rsid w:val="00242B6A"/>
    <w:rsid w:val="00244156"/>
    <w:rsid w:val="0024482F"/>
    <w:rsid w:val="0024614B"/>
    <w:rsid w:val="00247385"/>
    <w:rsid w:val="00247A74"/>
    <w:rsid w:val="00247F88"/>
    <w:rsid w:val="00247F8E"/>
    <w:rsid w:val="00251229"/>
    <w:rsid w:val="0025151B"/>
    <w:rsid w:val="00251C07"/>
    <w:rsid w:val="002521F1"/>
    <w:rsid w:val="002528BE"/>
    <w:rsid w:val="002536E5"/>
    <w:rsid w:val="00253A5B"/>
    <w:rsid w:val="0025681F"/>
    <w:rsid w:val="00256886"/>
    <w:rsid w:val="00256A9B"/>
    <w:rsid w:val="0025746B"/>
    <w:rsid w:val="00257B64"/>
    <w:rsid w:val="00260DD9"/>
    <w:rsid w:val="00261048"/>
    <w:rsid w:val="00263521"/>
    <w:rsid w:val="002646AA"/>
    <w:rsid w:val="00264AFF"/>
    <w:rsid w:val="00264E5D"/>
    <w:rsid w:val="00264E76"/>
    <w:rsid w:val="0026534B"/>
    <w:rsid w:val="002654FC"/>
    <w:rsid w:val="00265A50"/>
    <w:rsid w:val="00265AA8"/>
    <w:rsid w:val="00266013"/>
    <w:rsid w:val="0026684B"/>
    <w:rsid w:val="002671F7"/>
    <w:rsid w:val="002708A1"/>
    <w:rsid w:val="00271BB1"/>
    <w:rsid w:val="00271D74"/>
    <w:rsid w:val="00271FC7"/>
    <w:rsid w:val="00272B67"/>
    <w:rsid w:val="0027300C"/>
    <w:rsid w:val="00273290"/>
    <w:rsid w:val="00275676"/>
    <w:rsid w:val="00275FB3"/>
    <w:rsid w:val="00276246"/>
    <w:rsid w:val="002765FC"/>
    <w:rsid w:val="00276D03"/>
    <w:rsid w:val="002775B2"/>
    <w:rsid w:val="002800FA"/>
    <w:rsid w:val="00280586"/>
    <w:rsid w:val="00281777"/>
    <w:rsid w:val="00281ABE"/>
    <w:rsid w:val="0028282E"/>
    <w:rsid w:val="00282B6B"/>
    <w:rsid w:val="00282D77"/>
    <w:rsid w:val="00282F26"/>
    <w:rsid w:val="00282F79"/>
    <w:rsid w:val="00283BE6"/>
    <w:rsid w:val="002846CF"/>
    <w:rsid w:val="002854EC"/>
    <w:rsid w:val="002856AA"/>
    <w:rsid w:val="00285EBD"/>
    <w:rsid w:val="00287361"/>
    <w:rsid w:val="00287578"/>
    <w:rsid w:val="00290216"/>
    <w:rsid w:val="00290935"/>
    <w:rsid w:val="00290D60"/>
    <w:rsid w:val="00292D14"/>
    <w:rsid w:val="002935BA"/>
    <w:rsid w:val="00293E09"/>
    <w:rsid w:val="00293F74"/>
    <w:rsid w:val="00295073"/>
    <w:rsid w:val="00295890"/>
    <w:rsid w:val="002963E8"/>
    <w:rsid w:val="0029744B"/>
    <w:rsid w:val="002A08FC"/>
    <w:rsid w:val="002A0B08"/>
    <w:rsid w:val="002A0C2C"/>
    <w:rsid w:val="002A1607"/>
    <w:rsid w:val="002A1688"/>
    <w:rsid w:val="002A1A24"/>
    <w:rsid w:val="002A2182"/>
    <w:rsid w:val="002A31FC"/>
    <w:rsid w:val="002A3263"/>
    <w:rsid w:val="002A3CE9"/>
    <w:rsid w:val="002A442D"/>
    <w:rsid w:val="002A592D"/>
    <w:rsid w:val="002A5F06"/>
    <w:rsid w:val="002A6793"/>
    <w:rsid w:val="002B0EDE"/>
    <w:rsid w:val="002B133A"/>
    <w:rsid w:val="002B1B22"/>
    <w:rsid w:val="002B349E"/>
    <w:rsid w:val="002B5BAF"/>
    <w:rsid w:val="002C16FB"/>
    <w:rsid w:val="002C177D"/>
    <w:rsid w:val="002C2A24"/>
    <w:rsid w:val="002C332C"/>
    <w:rsid w:val="002C3B52"/>
    <w:rsid w:val="002C4311"/>
    <w:rsid w:val="002C5073"/>
    <w:rsid w:val="002C50A2"/>
    <w:rsid w:val="002C55D3"/>
    <w:rsid w:val="002C6B39"/>
    <w:rsid w:val="002C7842"/>
    <w:rsid w:val="002D06F9"/>
    <w:rsid w:val="002D0FAD"/>
    <w:rsid w:val="002D0FF6"/>
    <w:rsid w:val="002D133A"/>
    <w:rsid w:val="002D15CD"/>
    <w:rsid w:val="002D1B52"/>
    <w:rsid w:val="002D1FC7"/>
    <w:rsid w:val="002D24E9"/>
    <w:rsid w:val="002D2687"/>
    <w:rsid w:val="002D2A7F"/>
    <w:rsid w:val="002D2E1F"/>
    <w:rsid w:val="002D4301"/>
    <w:rsid w:val="002D50B4"/>
    <w:rsid w:val="002D51B8"/>
    <w:rsid w:val="002D5D4A"/>
    <w:rsid w:val="002D6311"/>
    <w:rsid w:val="002E085C"/>
    <w:rsid w:val="002E1661"/>
    <w:rsid w:val="002E207D"/>
    <w:rsid w:val="002E231C"/>
    <w:rsid w:val="002E2E12"/>
    <w:rsid w:val="002E31D9"/>
    <w:rsid w:val="002E4AA3"/>
    <w:rsid w:val="002E4BB0"/>
    <w:rsid w:val="002E5064"/>
    <w:rsid w:val="002E6B04"/>
    <w:rsid w:val="002E7FF9"/>
    <w:rsid w:val="002F09D0"/>
    <w:rsid w:val="002F119D"/>
    <w:rsid w:val="002F2BCB"/>
    <w:rsid w:val="002F2DA6"/>
    <w:rsid w:val="002F3BFC"/>
    <w:rsid w:val="002F5287"/>
    <w:rsid w:val="002F688F"/>
    <w:rsid w:val="002F6DD8"/>
    <w:rsid w:val="002F7B98"/>
    <w:rsid w:val="002F7F57"/>
    <w:rsid w:val="00300F1D"/>
    <w:rsid w:val="00301009"/>
    <w:rsid w:val="00301496"/>
    <w:rsid w:val="003015F5"/>
    <w:rsid w:val="00301842"/>
    <w:rsid w:val="003018EF"/>
    <w:rsid w:val="00302107"/>
    <w:rsid w:val="00302EF5"/>
    <w:rsid w:val="00303875"/>
    <w:rsid w:val="00303AB6"/>
    <w:rsid w:val="003048FC"/>
    <w:rsid w:val="00304F41"/>
    <w:rsid w:val="00305944"/>
    <w:rsid w:val="00305F91"/>
    <w:rsid w:val="003063B4"/>
    <w:rsid w:val="003076C4"/>
    <w:rsid w:val="00307BB2"/>
    <w:rsid w:val="00311EEE"/>
    <w:rsid w:val="003131C1"/>
    <w:rsid w:val="00313261"/>
    <w:rsid w:val="003136EA"/>
    <w:rsid w:val="00313C15"/>
    <w:rsid w:val="0031464B"/>
    <w:rsid w:val="00314832"/>
    <w:rsid w:val="00315B12"/>
    <w:rsid w:val="003171E3"/>
    <w:rsid w:val="00317202"/>
    <w:rsid w:val="003179D9"/>
    <w:rsid w:val="00317DC6"/>
    <w:rsid w:val="003202FA"/>
    <w:rsid w:val="00322850"/>
    <w:rsid w:val="00323D96"/>
    <w:rsid w:val="00323ECB"/>
    <w:rsid w:val="00324E8E"/>
    <w:rsid w:val="0032551F"/>
    <w:rsid w:val="00325A31"/>
    <w:rsid w:val="003262A7"/>
    <w:rsid w:val="0032798A"/>
    <w:rsid w:val="003311D3"/>
    <w:rsid w:val="00331AAE"/>
    <w:rsid w:val="00331D9F"/>
    <w:rsid w:val="00331DE5"/>
    <w:rsid w:val="00332FB4"/>
    <w:rsid w:val="0033372E"/>
    <w:rsid w:val="00333841"/>
    <w:rsid w:val="003339EB"/>
    <w:rsid w:val="00333C1F"/>
    <w:rsid w:val="00333D04"/>
    <w:rsid w:val="00333D9D"/>
    <w:rsid w:val="00334FB1"/>
    <w:rsid w:val="0033512C"/>
    <w:rsid w:val="003354A9"/>
    <w:rsid w:val="00335E97"/>
    <w:rsid w:val="00336173"/>
    <w:rsid w:val="0033660F"/>
    <w:rsid w:val="00337EEB"/>
    <w:rsid w:val="00341AAB"/>
    <w:rsid w:val="00343214"/>
    <w:rsid w:val="00343307"/>
    <w:rsid w:val="00343ACB"/>
    <w:rsid w:val="003445D1"/>
    <w:rsid w:val="003449E6"/>
    <w:rsid w:val="00344AD2"/>
    <w:rsid w:val="003454F3"/>
    <w:rsid w:val="003456D3"/>
    <w:rsid w:val="00346F75"/>
    <w:rsid w:val="003471D2"/>
    <w:rsid w:val="00351279"/>
    <w:rsid w:val="0035134A"/>
    <w:rsid w:val="00351551"/>
    <w:rsid w:val="0035195D"/>
    <w:rsid w:val="00351C07"/>
    <w:rsid w:val="00351E42"/>
    <w:rsid w:val="00352714"/>
    <w:rsid w:val="00353013"/>
    <w:rsid w:val="00353B9A"/>
    <w:rsid w:val="00356AEA"/>
    <w:rsid w:val="00356D0F"/>
    <w:rsid w:val="0035743B"/>
    <w:rsid w:val="003603C2"/>
    <w:rsid w:val="00361354"/>
    <w:rsid w:val="0036179D"/>
    <w:rsid w:val="00361C5A"/>
    <w:rsid w:val="00362A3B"/>
    <w:rsid w:val="00362DBD"/>
    <w:rsid w:val="003631EB"/>
    <w:rsid w:val="00363E3D"/>
    <w:rsid w:val="00363F23"/>
    <w:rsid w:val="00365279"/>
    <w:rsid w:val="00365750"/>
    <w:rsid w:val="0036627E"/>
    <w:rsid w:val="003678C6"/>
    <w:rsid w:val="00370044"/>
    <w:rsid w:val="0037043E"/>
    <w:rsid w:val="00370B7C"/>
    <w:rsid w:val="0037232A"/>
    <w:rsid w:val="00372A91"/>
    <w:rsid w:val="00372BAF"/>
    <w:rsid w:val="00373370"/>
    <w:rsid w:val="003738AE"/>
    <w:rsid w:val="00376519"/>
    <w:rsid w:val="00377638"/>
    <w:rsid w:val="00377AA0"/>
    <w:rsid w:val="00380BB2"/>
    <w:rsid w:val="00381B21"/>
    <w:rsid w:val="00382A92"/>
    <w:rsid w:val="00382F5C"/>
    <w:rsid w:val="00383514"/>
    <w:rsid w:val="0038439E"/>
    <w:rsid w:val="00384754"/>
    <w:rsid w:val="003847C2"/>
    <w:rsid w:val="003864F4"/>
    <w:rsid w:val="003868B4"/>
    <w:rsid w:val="0039023A"/>
    <w:rsid w:val="00390DB0"/>
    <w:rsid w:val="00390DF2"/>
    <w:rsid w:val="00391B42"/>
    <w:rsid w:val="00392BF3"/>
    <w:rsid w:val="00393E83"/>
    <w:rsid w:val="00395026"/>
    <w:rsid w:val="003950F8"/>
    <w:rsid w:val="003965EA"/>
    <w:rsid w:val="003974D5"/>
    <w:rsid w:val="003A01B1"/>
    <w:rsid w:val="003A0D92"/>
    <w:rsid w:val="003A13E0"/>
    <w:rsid w:val="003A27D7"/>
    <w:rsid w:val="003A4734"/>
    <w:rsid w:val="003A531F"/>
    <w:rsid w:val="003A57E8"/>
    <w:rsid w:val="003A745F"/>
    <w:rsid w:val="003B03B2"/>
    <w:rsid w:val="003B087F"/>
    <w:rsid w:val="003B25CA"/>
    <w:rsid w:val="003B2C1E"/>
    <w:rsid w:val="003B3B6F"/>
    <w:rsid w:val="003B3BD5"/>
    <w:rsid w:val="003B3C11"/>
    <w:rsid w:val="003B6250"/>
    <w:rsid w:val="003B65D3"/>
    <w:rsid w:val="003B6778"/>
    <w:rsid w:val="003B694B"/>
    <w:rsid w:val="003B73AC"/>
    <w:rsid w:val="003C01D9"/>
    <w:rsid w:val="003C0435"/>
    <w:rsid w:val="003C0492"/>
    <w:rsid w:val="003C0582"/>
    <w:rsid w:val="003C0F44"/>
    <w:rsid w:val="003C325A"/>
    <w:rsid w:val="003C373A"/>
    <w:rsid w:val="003C3A6C"/>
    <w:rsid w:val="003C48DD"/>
    <w:rsid w:val="003C4A92"/>
    <w:rsid w:val="003C562F"/>
    <w:rsid w:val="003C5785"/>
    <w:rsid w:val="003C5A7D"/>
    <w:rsid w:val="003C5BBB"/>
    <w:rsid w:val="003C6062"/>
    <w:rsid w:val="003C61D8"/>
    <w:rsid w:val="003C797B"/>
    <w:rsid w:val="003D0B53"/>
    <w:rsid w:val="003D0E76"/>
    <w:rsid w:val="003D0FBD"/>
    <w:rsid w:val="003D1BAC"/>
    <w:rsid w:val="003D1E87"/>
    <w:rsid w:val="003D218E"/>
    <w:rsid w:val="003D2369"/>
    <w:rsid w:val="003D29C4"/>
    <w:rsid w:val="003D3561"/>
    <w:rsid w:val="003D3EBE"/>
    <w:rsid w:val="003D408F"/>
    <w:rsid w:val="003D43CC"/>
    <w:rsid w:val="003D45EA"/>
    <w:rsid w:val="003D46AD"/>
    <w:rsid w:val="003D46C9"/>
    <w:rsid w:val="003D4CFC"/>
    <w:rsid w:val="003D4D28"/>
    <w:rsid w:val="003D529C"/>
    <w:rsid w:val="003D54FD"/>
    <w:rsid w:val="003D576F"/>
    <w:rsid w:val="003D58DD"/>
    <w:rsid w:val="003D5D5D"/>
    <w:rsid w:val="003D6C3D"/>
    <w:rsid w:val="003D7B6E"/>
    <w:rsid w:val="003E1EC4"/>
    <w:rsid w:val="003E31AB"/>
    <w:rsid w:val="003E45C0"/>
    <w:rsid w:val="003E4E34"/>
    <w:rsid w:val="003E6059"/>
    <w:rsid w:val="003E634A"/>
    <w:rsid w:val="003E6EF6"/>
    <w:rsid w:val="003E777D"/>
    <w:rsid w:val="003F0BEA"/>
    <w:rsid w:val="003F150C"/>
    <w:rsid w:val="003F25E5"/>
    <w:rsid w:val="003F28C7"/>
    <w:rsid w:val="003F36B9"/>
    <w:rsid w:val="003F3D1B"/>
    <w:rsid w:val="003F3EF0"/>
    <w:rsid w:val="003F3F02"/>
    <w:rsid w:val="003F584E"/>
    <w:rsid w:val="003F67C5"/>
    <w:rsid w:val="003F6D5B"/>
    <w:rsid w:val="003F70BA"/>
    <w:rsid w:val="00400BA2"/>
    <w:rsid w:val="00400EB6"/>
    <w:rsid w:val="004016E0"/>
    <w:rsid w:val="00401F92"/>
    <w:rsid w:val="00402E46"/>
    <w:rsid w:val="00402F9B"/>
    <w:rsid w:val="0040301E"/>
    <w:rsid w:val="004048AD"/>
    <w:rsid w:val="00405685"/>
    <w:rsid w:val="00405CB4"/>
    <w:rsid w:val="004062B5"/>
    <w:rsid w:val="00406534"/>
    <w:rsid w:val="0040673F"/>
    <w:rsid w:val="00406C15"/>
    <w:rsid w:val="0041065E"/>
    <w:rsid w:val="00410C98"/>
    <w:rsid w:val="00411B46"/>
    <w:rsid w:val="00412855"/>
    <w:rsid w:val="004128D7"/>
    <w:rsid w:val="00415B26"/>
    <w:rsid w:val="004162F6"/>
    <w:rsid w:val="00422191"/>
    <w:rsid w:val="00422238"/>
    <w:rsid w:val="004224B0"/>
    <w:rsid w:val="00423632"/>
    <w:rsid w:val="00423965"/>
    <w:rsid w:val="0042490C"/>
    <w:rsid w:val="00424D09"/>
    <w:rsid w:val="00424D45"/>
    <w:rsid w:val="00426079"/>
    <w:rsid w:val="004267F7"/>
    <w:rsid w:val="00427D9D"/>
    <w:rsid w:val="0043054E"/>
    <w:rsid w:val="00430BA3"/>
    <w:rsid w:val="00431578"/>
    <w:rsid w:val="00431A9D"/>
    <w:rsid w:val="00431C9D"/>
    <w:rsid w:val="0043316B"/>
    <w:rsid w:val="00433F22"/>
    <w:rsid w:val="00433F7A"/>
    <w:rsid w:val="004346DB"/>
    <w:rsid w:val="00434B57"/>
    <w:rsid w:val="0043515D"/>
    <w:rsid w:val="0043551B"/>
    <w:rsid w:val="004359AC"/>
    <w:rsid w:val="00435FEF"/>
    <w:rsid w:val="00436468"/>
    <w:rsid w:val="00436E8D"/>
    <w:rsid w:val="0043782A"/>
    <w:rsid w:val="00440333"/>
    <w:rsid w:val="00440535"/>
    <w:rsid w:val="00440C22"/>
    <w:rsid w:val="004412A9"/>
    <w:rsid w:val="00443FD2"/>
    <w:rsid w:val="004457C8"/>
    <w:rsid w:val="00445A4C"/>
    <w:rsid w:val="00445D14"/>
    <w:rsid w:val="00446150"/>
    <w:rsid w:val="004469F0"/>
    <w:rsid w:val="00447752"/>
    <w:rsid w:val="00451C1B"/>
    <w:rsid w:val="00452079"/>
    <w:rsid w:val="00452423"/>
    <w:rsid w:val="00452D2B"/>
    <w:rsid w:val="00452E3E"/>
    <w:rsid w:val="0045359E"/>
    <w:rsid w:val="00453DB4"/>
    <w:rsid w:val="0045447D"/>
    <w:rsid w:val="00454861"/>
    <w:rsid w:val="00454B3F"/>
    <w:rsid w:val="00454DA8"/>
    <w:rsid w:val="0045520E"/>
    <w:rsid w:val="0045597A"/>
    <w:rsid w:val="0045728A"/>
    <w:rsid w:val="00457297"/>
    <w:rsid w:val="00457444"/>
    <w:rsid w:val="0045752E"/>
    <w:rsid w:val="00457D10"/>
    <w:rsid w:val="00457F46"/>
    <w:rsid w:val="004618CE"/>
    <w:rsid w:val="00461FAB"/>
    <w:rsid w:val="004626C1"/>
    <w:rsid w:val="00462B85"/>
    <w:rsid w:val="0046357B"/>
    <w:rsid w:val="004635FB"/>
    <w:rsid w:val="00463627"/>
    <w:rsid w:val="004640A0"/>
    <w:rsid w:val="00464223"/>
    <w:rsid w:val="004646AE"/>
    <w:rsid w:val="004651DB"/>
    <w:rsid w:val="004658AC"/>
    <w:rsid w:val="004674A4"/>
    <w:rsid w:val="00470231"/>
    <w:rsid w:val="0047163A"/>
    <w:rsid w:val="00471AAC"/>
    <w:rsid w:val="004725BC"/>
    <w:rsid w:val="00472673"/>
    <w:rsid w:val="00472D6F"/>
    <w:rsid w:val="004731E4"/>
    <w:rsid w:val="00474567"/>
    <w:rsid w:val="004758FC"/>
    <w:rsid w:val="00475DA8"/>
    <w:rsid w:val="00476565"/>
    <w:rsid w:val="00476963"/>
    <w:rsid w:val="00476AA1"/>
    <w:rsid w:val="00476F6A"/>
    <w:rsid w:val="00477447"/>
    <w:rsid w:val="00480A8F"/>
    <w:rsid w:val="00480E3C"/>
    <w:rsid w:val="00482946"/>
    <w:rsid w:val="00482B73"/>
    <w:rsid w:val="0048434C"/>
    <w:rsid w:val="0049102F"/>
    <w:rsid w:val="004916A3"/>
    <w:rsid w:val="00492483"/>
    <w:rsid w:val="004924E2"/>
    <w:rsid w:val="00493DD9"/>
    <w:rsid w:val="00494766"/>
    <w:rsid w:val="004957D7"/>
    <w:rsid w:val="004958CF"/>
    <w:rsid w:val="00496C4C"/>
    <w:rsid w:val="00496F80"/>
    <w:rsid w:val="004A02DF"/>
    <w:rsid w:val="004A1146"/>
    <w:rsid w:val="004A153A"/>
    <w:rsid w:val="004A1EBB"/>
    <w:rsid w:val="004A24EA"/>
    <w:rsid w:val="004A2C1B"/>
    <w:rsid w:val="004A33C1"/>
    <w:rsid w:val="004A44A1"/>
    <w:rsid w:val="004A4EDE"/>
    <w:rsid w:val="004A57C6"/>
    <w:rsid w:val="004A5F1C"/>
    <w:rsid w:val="004A6707"/>
    <w:rsid w:val="004A682C"/>
    <w:rsid w:val="004A71C7"/>
    <w:rsid w:val="004A7B62"/>
    <w:rsid w:val="004A7EFE"/>
    <w:rsid w:val="004B02C1"/>
    <w:rsid w:val="004B1585"/>
    <w:rsid w:val="004B21DD"/>
    <w:rsid w:val="004B27AE"/>
    <w:rsid w:val="004B2A84"/>
    <w:rsid w:val="004B4031"/>
    <w:rsid w:val="004B4423"/>
    <w:rsid w:val="004B4BC4"/>
    <w:rsid w:val="004B4D3A"/>
    <w:rsid w:val="004B6431"/>
    <w:rsid w:val="004B6B5D"/>
    <w:rsid w:val="004B7254"/>
    <w:rsid w:val="004B7A5C"/>
    <w:rsid w:val="004C0AFB"/>
    <w:rsid w:val="004C0B20"/>
    <w:rsid w:val="004C0B73"/>
    <w:rsid w:val="004C2918"/>
    <w:rsid w:val="004C3664"/>
    <w:rsid w:val="004C3D03"/>
    <w:rsid w:val="004C415E"/>
    <w:rsid w:val="004C5CE0"/>
    <w:rsid w:val="004C6F20"/>
    <w:rsid w:val="004C74EB"/>
    <w:rsid w:val="004C767A"/>
    <w:rsid w:val="004C7F24"/>
    <w:rsid w:val="004D03A7"/>
    <w:rsid w:val="004D0822"/>
    <w:rsid w:val="004D121D"/>
    <w:rsid w:val="004D19D4"/>
    <w:rsid w:val="004D26FA"/>
    <w:rsid w:val="004D2E29"/>
    <w:rsid w:val="004D3C1E"/>
    <w:rsid w:val="004D527F"/>
    <w:rsid w:val="004D5902"/>
    <w:rsid w:val="004D5BF4"/>
    <w:rsid w:val="004D5E72"/>
    <w:rsid w:val="004D60D1"/>
    <w:rsid w:val="004E1800"/>
    <w:rsid w:val="004E1B5B"/>
    <w:rsid w:val="004E2B04"/>
    <w:rsid w:val="004E3CDA"/>
    <w:rsid w:val="004E3D5B"/>
    <w:rsid w:val="004E3EFE"/>
    <w:rsid w:val="004E526A"/>
    <w:rsid w:val="004E56FC"/>
    <w:rsid w:val="004E5E26"/>
    <w:rsid w:val="004E6FCB"/>
    <w:rsid w:val="004E7702"/>
    <w:rsid w:val="004E7704"/>
    <w:rsid w:val="004F0156"/>
    <w:rsid w:val="004F06A0"/>
    <w:rsid w:val="004F07EF"/>
    <w:rsid w:val="004F09DD"/>
    <w:rsid w:val="004F0D82"/>
    <w:rsid w:val="004F1196"/>
    <w:rsid w:val="004F1275"/>
    <w:rsid w:val="004F15B5"/>
    <w:rsid w:val="004F1FDE"/>
    <w:rsid w:val="004F21CD"/>
    <w:rsid w:val="004F4042"/>
    <w:rsid w:val="004F4E9E"/>
    <w:rsid w:val="004F57A5"/>
    <w:rsid w:val="004F69F9"/>
    <w:rsid w:val="004F75C8"/>
    <w:rsid w:val="004F7686"/>
    <w:rsid w:val="004F7FD0"/>
    <w:rsid w:val="00500E21"/>
    <w:rsid w:val="0050127C"/>
    <w:rsid w:val="00501605"/>
    <w:rsid w:val="00501B89"/>
    <w:rsid w:val="00502C1C"/>
    <w:rsid w:val="00502C63"/>
    <w:rsid w:val="00502DFA"/>
    <w:rsid w:val="005033B2"/>
    <w:rsid w:val="00503AC8"/>
    <w:rsid w:val="005050C7"/>
    <w:rsid w:val="005051C2"/>
    <w:rsid w:val="00505DE6"/>
    <w:rsid w:val="005068E9"/>
    <w:rsid w:val="00506FD2"/>
    <w:rsid w:val="00507084"/>
    <w:rsid w:val="005075F3"/>
    <w:rsid w:val="00507D69"/>
    <w:rsid w:val="00510941"/>
    <w:rsid w:val="00510D66"/>
    <w:rsid w:val="0051162C"/>
    <w:rsid w:val="00512A4D"/>
    <w:rsid w:val="00512D1A"/>
    <w:rsid w:val="005138C2"/>
    <w:rsid w:val="00513BC1"/>
    <w:rsid w:val="00514092"/>
    <w:rsid w:val="00514B25"/>
    <w:rsid w:val="00514B95"/>
    <w:rsid w:val="00514DAB"/>
    <w:rsid w:val="00514EEE"/>
    <w:rsid w:val="005154AB"/>
    <w:rsid w:val="005159E7"/>
    <w:rsid w:val="00517448"/>
    <w:rsid w:val="00517852"/>
    <w:rsid w:val="00520FE7"/>
    <w:rsid w:val="0052113C"/>
    <w:rsid w:val="0052219B"/>
    <w:rsid w:val="0052261B"/>
    <w:rsid w:val="00523680"/>
    <w:rsid w:val="00523B3B"/>
    <w:rsid w:val="00524E26"/>
    <w:rsid w:val="00525475"/>
    <w:rsid w:val="00525EEA"/>
    <w:rsid w:val="00526153"/>
    <w:rsid w:val="00526BD7"/>
    <w:rsid w:val="00527DB8"/>
    <w:rsid w:val="00531CE6"/>
    <w:rsid w:val="005330F9"/>
    <w:rsid w:val="005346E3"/>
    <w:rsid w:val="00535CC1"/>
    <w:rsid w:val="00535DEE"/>
    <w:rsid w:val="005360CA"/>
    <w:rsid w:val="00536128"/>
    <w:rsid w:val="00536220"/>
    <w:rsid w:val="00536362"/>
    <w:rsid w:val="00537240"/>
    <w:rsid w:val="005372CC"/>
    <w:rsid w:val="005373D0"/>
    <w:rsid w:val="00540230"/>
    <w:rsid w:val="0054052B"/>
    <w:rsid w:val="005407FB"/>
    <w:rsid w:val="005425F7"/>
    <w:rsid w:val="00542F12"/>
    <w:rsid w:val="00543645"/>
    <w:rsid w:val="00543AD0"/>
    <w:rsid w:val="00544F6C"/>
    <w:rsid w:val="00545677"/>
    <w:rsid w:val="00546633"/>
    <w:rsid w:val="0054669E"/>
    <w:rsid w:val="00547614"/>
    <w:rsid w:val="00547879"/>
    <w:rsid w:val="00550057"/>
    <w:rsid w:val="005513CD"/>
    <w:rsid w:val="005516C1"/>
    <w:rsid w:val="00553254"/>
    <w:rsid w:val="005539C7"/>
    <w:rsid w:val="0055457B"/>
    <w:rsid w:val="00555C8E"/>
    <w:rsid w:val="00555E6E"/>
    <w:rsid w:val="00555F64"/>
    <w:rsid w:val="005562B8"/>
    <w:rsid w:val="005569E4"/>
    <w:rsid w:val="00557BC7"/>
    <w:rsid w:val="0056098C"/>
    <w:rsid w:val="00562C20"/>
    <w:rsid w:val="00564084"/>
    <w:rsid w:val="00564A85"/>
    <w:rsid w:val="00564DB9"/>
    <w:rsid w:val="00565FC4"/>
    <w:rsid w:val="00566876"/>
    <w:rsid w:val="0056760B"/>
    <w:rsid w:val="00570BF5"/>
    <w:rsid w:val="005714B0"/>
    <w:rsid w:val="005722FC"/>
    <w:rsid w:val="0057283E"/>
    <w:rsid w:val="00572C66"/>
    <w:rsid w:val="00573DA2"/>
    <w:rsid w:val="00574261"/>
    <w:rsid w:val="0057510C"/>
    <w:rsid w:val="0058033B"/>
    <w:rsid w:val="005804AD"/>
    <w:rsid w:val="005809CD"/>
    <w:rsid w:val="00581123"/>
    <w:rsid w:val="00581939"/>
    <w:rsid w:val="005822A6"/>
    <w:rsid w:val="00582341"/>
    <w:rsid w:val="00582570"/>
    <w:rsid w:val="005826DC"/>
    <w:rsid w:val="005826F0"/>
    <w:rsid w:val="00583148"/>
    <w:rsid w:val="00583560"/>
    <w:rsid w:val="0058435A"/>
    <w:rsid w:val="005844B4"/>
    <w:rsid w:val="005855F7"/>
    <w:rsid w:val="00585739"/>
    <w:rsid w:val="00585839"/>
    <w:rsid w:val="005865DB"/>
    <w:rsid w:val="00586E4E"/>
    <w:rsid w:val="00587199"/>
    <w:rsid w:val="0058778B"/>
    <w:rsid w:val="00587DA1"/>
    <w:rsid w:val="00590253"/>
    <w:rsid w:val="00590A45"/>
    <w:rsid w:val="005910E4"/>
    <w:rsid w:val="005918B0"/>
    <w:rsid w:val="00591E89"/>
    <w:rsid w:val="00593C28"/>
    <w:rsid w:val="00594072"/>
    <w:rsid w:val="00595A32"/>
    <w:rsid w:val="00595EE6"/>
    <w:rsid w:val="00595FF5"/>
    <w:rsid w:val="0059621C"/>
    <w:rsid w:val="00596391"/>
    <w:rsid w:val="0059784B"/>
    <w:rsid w:val="005979F5"/>
    <w:rsid w:val="00597CE1"/>
    <w:rsid w:val="00597D3D"/>
    <w:rsid w:val="005A0D59"/>
    <w:rsid w:val="005A0E40"/>
    <w:rsid w:val="005A1F9B"/>
    <w:rsid w:val="005A3578"/>
    <w:rsid w:val="005A3C47"/>
    <w:rsid w:val="005A41D9"/>
    <w:rsid w:val="005A4300"/>
    <w:rsid w:val="005A4845"/>
    <w:rsid w:val="005A6384"/>
    <w:rsid w:val="005A736F"/>
    <w:rsid w:val="005B04DF"/>
    <w:rsid w:val="005B2942"/>
    <w:rsid w:val="005B2DBE"/>
    <w:rsid w:val="005B48D7"/>
    <w:rsid w:val="005B6638"/>
    <w:rsid w:val="005B6944"/>
    <w:rsid w:val="005C286B"/>
    <w:rsid w:val="005C2D3B"/>
    <w:rsid w:val="005C357D"/>
    <w:rsid w:val="005C3E43"/>
    <w:rsid w:val="005C4CA4"/>
    <w:rsid w:val="005C54F4"/>
    <w:rsid w:val="005C5C9A"/>
    <w:rsid w:val="005C6462"/>
    <w:rsid w:val="005C6620"/>
    <w:rsid w:val="005C6684"/>
    <w:rsid w:val="005C700B"/>
    <w:rsid w:val="005C7209"/>
    <w:rsid w:val="005C7D0C"/>
    <w:rsid w:val="005C7F3D"/>
    <w:rsid w:val="005D0EA9"/>
    <w:rsid w:val="005D3E46"/>
    <w:rsid w:val="005D3F73"/>
    <w:rsid w:val="005D55E5"/>
    <w:rsid w:val="005D6CC7"/>
    <w:rsid w:val="005D7029"/>
    <w:rsid w:val="005D71E6"/>
    <w:rsid w:val="005D73A7"/>
    <w:rsid w:val="005D77BC"/>
    <w:rsid w:val="005E1D7B"/>
    <w:rsid w:val="005E3232"/>
    <w:rsid w:val="005E32AD"/>
    <w:rsid w:val="005E56B0"/>
    <w:rsid w:val="005E593B"/>
    <w:rsid w:val="005E5E06"/>
    <w:rsid w:val="005E76CE"/>
    <w:rsid w:val="005E7A01"/>
    <w:rsid w:val="005F0306"/>
    <w:rsid w:val="005F1562"/>
    <w:rsid w:val="005F1B5D"/>
    <w:rsid w:val="005F2880"/>
    <w:rsid w:val="005F2A78"/>
    <w:rsid w:val="005F2F3C"/>
    <w:rsid w:val="005F3595"/>
    <w:rsid w:val="005F37EC"/>
    <w:rsid w:val="005F3DA1"/>
    <w:rsid w:val="005F42D5"/>
    <w:rsid w:val="005F4427"/>
    <w:rsid w:val="005F48A4"/>
    <w:rsid w:val="005F5620"/>
    <w:rsid w:val="005F78AF"/>
    <w:rsid w:val="00601469"/>
    <w:rsid w:val="00602548"/>
    <w:rsid w:val="00604CEC"/>
    <w:rsid w:val="0060600A"/>
    <w:rsid w:val="00606799"/>
    <w:rsid w:val="0060725B"/>
    <w:rsid w:val="00607C59"/>
    <w:rsid w:val="00610093"/>
    <w:rsid w:val="00610741"/>
    <w:rsid w:val="00610BDB"/>
    <w:rsid w:val="006112A1"/>
    <w:rsid w:val="00612582"/>
    <w:rsid w:val="00612946"/>
    <w:rsid w:val="0061311D"/>
    <w:rsid w:val="00613802"/>
    <w:rsid w:val="00613DB3"/>
    <w:rsid w:val="00613F45"/>
    <w:rsid w:val="006140C6"/>
    <w:rsid w:val="00617C8B"/>
    <w:rsid w:val="00617EDF"/>
    <w:rsid w:val="00620624"/>
    <w:rsid w:val="0062090C"/>
    <w:rsid w:val="00620C37"/>
    <w:rsid w:val="0062205C"/>
    <w:rsid w:val="006227AB"/>
    <w:rsid w:val="0062303C"/>
    <w:rsid w:val="00623553"/>
    <w:rsid w:val="00624899"/>
    <w:rsid w:val="00626941"/>
    <w:rsid w:val="00626994"/>
    <w:rsid w:val="006316E5"/>
    <w:rsid w:val="0063203B"/>
    <w:rsid w:val="006327BE"/>
    <w:rsid w:val="00634659"/>
    <w:rsid w:val="00635FF5"/>
    <w:rsid w:val="006366ED"/>
    <w:rsid w:val="006368A7"/>
    <w:rsid w:val="00636EBD"/>
    <w:rsid w:val="0063793A"/>
    <w:rsid w:val="00637EE5"/>
    <w:rsid w:val="006409EC"/>
    <w:rsid w:val="00640B4A"/>
    <w:rsid w:val="00640C3F"/>
    <w:rsid w:val="00640CF9"/>
    <w:rsid w:val="00641195"/>
    <w:rsid w:val="00642435"/>
    <w:rsid w:val="006426D0"/>
    <w:rsid w:val="00643633"/>
    <w:rsid w:val="006436F1"/>
    <w:rsid w:val="00643CB5"/>
    <w:rsid w:val="00644054"/>
    <w:rsid w:val="00645166"/>
    <w:rsid w:val="00645669"/>
    <w:rsid w:val="0064661F"/>
    <w:rsid w:val="00646D07"/>
    <w:rsid w:val="00647425"/>
    <w:rsid w:val="006477C8"/>
    <w:rsid w:val="00651BAC"/>
    <w:rsid w:val="00651FBB"/>
    <w:rsid w:val="00652FD4"/>
    <w:rsid w:val="0065369D"/>
    <w:rsid w:val="00655B2E"/>
    <w:rsid w:val="00655C55"/>
    <w:rsid w:val="00655D9B"/>
    <w:rsid w:val="00656402"/>
    <w:rsid w:val="006573B9"/>
    <w:rsid w:val="006601AD"/>
    <w:rsid w:val="006608B5"/>
    <w:rsid w:val="00660B13"/>
    <w:rsid w:val="006616C1"/>
    <w:rsid w:val="00661946"/>
    <w:rsid w:val="006621F7"/>
    <w:rsid w:val="00662774"/>
    <w:rsid w:val="0066395E"/>
    <w:rsid w:val="00663B8E"/>
    <w:rsid w:val="006643CB"/>
    <w:rsid w:val="00665AFF"/>
    <w:rsid w:val="006709A7"/>
    <w:rsid w:val="00670AEF"/>
    <w:rsid w:val="00670EF8"/>
    <w:rsid w:val="006717B6"/>
    <w:rsid w:val="00672492"/>
    <w:rsid w:val="00672EC0"/>
    <w:rsid w:val="00674090"/>
    <w:rsid w:val="00674339"/>
    <w:rsid w:val="006747CB"/>
    <w:rsid w:val="00674DD5"/>
    <w:rsid w:val="006758BA"/>
    <w:rsid w:val="00675D07"/>
    <w:rsid w:val="00675F0C"/>
    <w:rsid w:val="006761F4"/>
    <w:rsid w:val="0067685D"/>
    <w:rsid w:val="00676BB9"/>
    <w:rsid w:val="006771F2"/>
    <w:rsid w:val="00683229"/>
    <w:rsid w:val="006840F3"/>
    <w:rsid w:val="006847F7"/>
    <w:rsid w:val="00684E30"/>
    <w:rsid w:val="00685116"/>
    <w:rsid w:val="00685132"/>
    <w:rsid w:val="00687A17"/>
    <w:rsid w:val="00691782"/>
    <w:rsid w:val="00691996"/>
    <w:rsid w:val="00692E8E"/>
    <w:rsid w:val="006931A4"/>
    <w:rsid w:val="00693D35"/>
    <w:rsid w:val="00693D3F"/>
    <w:rsid w:val="00693F5F"/>
    <w:rsid w:val="00694100"/>
    <w:rsid w:val="00694529"/>
    <w:rsid w:val="00694E4D"/>
    <w:rsid w:val="00695982"/>
    <w:rsid w:val="0069613D"/>
    <w:rsid w:val="006966F9"/>
    <w:rsid w:val="006972B2"/>
    <w:rsid w:val="00697464"/>
    <w:rsid w:val="00697E74"/>
    <w:rsid w:val="006A0067"/>
    <w:rsid w:val="006A2547"/>
    <w:rsid w:val="006A45BA"/>
    <w:rsid w:val="006A4CA1"/>
    <w:rsid w:val="006A74A7"/>
    <w:rsid w:val="006A74B8"/>
    <w:rsid w:val="006A76F7"/>
    <w:rsid w:val="006A7954"/>
    <w:rsid w:val="006A7C67"/>
    <w:rsid w:val="006A7FF1"/>
    <w:rsid w:val="006B00E3"/>
    <w:rsid w:val="006B0530"/>
    <w:rsid w:val="006B15A8"/>
    <w:rsid w:val="006B170D"/>
    <w:rsid w:val="006B1B1B"/>
    <w:rsid w:val="006B289A"/>
    <w:rsid w:val="006B341C"/>
    <w:rsid w:val="006B34D9"/>
    <w:rsid w:val="006B50EE"/>
    <w:rsid w:val="006B616D"/>
    <w:rsid w:val="006B62D2"/>
    <w:rsid w:val="006B6D27"/>
    <w:rsid w:val="006B7F4B"/>
    <w:rsid w:val="006C0B75"/>
    <w:rsid w:val="006C16D2"/>
    <w:rsid w:val="006C2540"/>
    <w:rsid w:val="006C2B15"/>
    <w:rsid w:val="006C3678"/>
    <w:rsid w:val="006C3FE6"/>
    <w:rsid w:val="006C50AF"/>
    <w:rsid w:val="006C569B"/>
    <w:rsid w:val="006C56C1"/>
    <w:rsid w:val="006C6332"/>
    <w:rsid w:val="006C64F1"/>
    <w:rsid w:val="006C6657"/>
    <w:rsid w:val="006C6952"/>
    <w:rsid w:val="006C69AC"/>
    <w:rsid w:val="006C7FEA"/>
    <w:rsid w:val="006D0A2C"/>
    <w:rsid w:val="006D0CB3"/>
    <w:rsid w:val="006D1C06"/>
    <w:rsid w:val="006D3935"/>
    <w:rsid w:val="006D3B50"/>
    <w:rsid w:val="006D4B8E"/>
    <w:rsid w:val="006D5412"/>
    <w:rsid w:val="006D58D2"/>
    <w:rsid w:val="006D5C3B"/>
    <w:rsid w:val="006D600E"/>
    <w:rsid w:val="006D6A38"/>
    <w:rsid w:val="006D6DF6"/>
    <w:rsid w:val="006D702F"/>
    <w:rsid w:val="006D713F"/>
    <w:rsid w:val="006D77BC"/>
    <w:rsid w:val="006D794F"/>
    <w:rsid w:val="006E1275"/>
    <w:rsid w:val="006E1EF6"/>
    <w:rsid w:val="006E4051"/>
    <w:rsid w:val="006E4910"/>
    <w:rsid w:val="006E4C9D"/>
    <w:rsid w:val="006E51FE"/>
    <w:rsid w:val="006E59F7"/>
    <w:rsid w:val="006E5CE3"/>
    <w:rsid w:val="006E612D"/>
    <w:rsid w:val="006E78CA"/>
    <w:rsid w:val="006E798A"/>
    <w:rsid w:val="006F1166"/>
    <w:rsid w:val="006F1724"/>
    <w:rsid w:val="006F1F05"/>
    <w:rsid w:val="006F36A8"/>
    <w:rsid w:val="006F3F5B"/>
    <w:rsid w:val="006F429F"/>
    <w:rsid w:val="006F4753"/>
    <w:rsid w:val="006F5894"/>
    <w:rsid w:val="006F5F7A"/>
    <w:rsid w:val="00700096"/>
    <w:rsid w:val="00700D3D"/>
    <w:rsid w:val="00701960"/>
    <w:rsid w:val="007028B4"/>
    <w:rsid w:val="0070327A"/>
    <w:rsid w:val="00704926"/>
    <w:rsid w:val="00705126"/>
    <w:rsid w:val="00705CBD"/>
    <w:rsid w:val="00706DA4"/>
    <w:rsid w:val="007071E2"/>
    <w:rsid w:val="00707BC5"/>
    <w:rsid w:val="007122E4"/>
    <w:rsid w:val="00712981"/>
    <w:rsid w:val="00712A62"/>
    <w:rsid w:val="00712CEA"/>
    <w:rsid w:val="007139EA"/>
    <w:rsid w:val="00715E6D"/>
    <w:rsid w:val="0071651A"/>
    <w:rsid w:val="00716BA7"/>
    <w:rsid w:val="00717444"/>
    <w:rsid w:val="0071792B"/>
    <w:rsid w:val="00720292"/>
    <w:rsid w:val="00720D42"/>
    <w:rsid w:val="00720E09"/>
    <w:rsid w:val="00721031"/>
    <w:rsid w:val="007211F6"/>
    <w:rsid w:val="00721D8F"/>
    <w:rsid w:val="00723082"/>
    <w:rsid w:val="007230CD"/>
    <w:rsid w:val="007238DC"/>
    <w:rsid w:val="007253D1"/>
    <w:rsid w:val="00725577"/>
    <w:rsid w:val="007258F5"/>
    <w:rsid w:val="00725C73"/>
    <w:rsid w:val="007260E0"/>
    <w:rsid w:val="00726CC5"/>
    <w:rsid w:val="00726E83"/>
    <w:rsid w:val="00727B38"/>
    <w:rsid w:val="007300CA"/>
    <w:rsid w:val="0073029B"/>
    <w:rsid w:val="007305B2"/>
    <w:rsid w:val="0073376D"/>
    <w:rsid w:val="007347D0"/>
    <w:rsid w:val="00734E8A"/>
    <w:rsid w:val="00735510"/>
    <w:rsid w:val="007364AD"/>
    <w:rsid w:val="0073684C"/>
    <w:rsid w:val="00736E2A"/>
    <w:rsid w:val="0073711C"/>
    <w:rsid w:val="00737758"/>
    <w:rsid w:val="00737B50"/>
    <w:rsid w:val="00740871"/>
    <w:rsid w:val="00740B19"/>
    <w:rsid w:val="00740BB8"/>
    <w:rsid w:val="00740CB4"/>
    <w:rsid w:val="007414D8"/>
    <w:rsid w:val="00742B36"/>
    <w:rsid w:val="007439DC"/>
    <w:rsid w:val="00744718"/>
    <w:rsid w:val="00744F44"/>
    <w:rsid w:val="00744F76"/>
    <w:rsid w:val="00746422"/>
    <w:rsid w:val="0074659F"/>
    <w:rsid w:val="00746CD1"/>
    <w:rsid w:val="007500A9"/>
    <w:rsid w:val="00750329"/>
    <w:rsid w:val="0075065A"/>
    <w:rsid w:val="007519B1"/>
    <w:rsid w:val="00752654"/>
    <w:rsid w:val="00752E0A"/>
    <w:rsid w:val="0075402F"/>
    <w:rsid w:val="00754314"/>
    <w:rsid w:val="00754B3E"/>
    <w:rsid w:val="00754BE8"/>
    <w:rsid w:val="007555FE"/>
    <w:rsid w:val="0075601E"/>
    <w:rsid w:val="00756BB1"/>
    <w:rsid w:val="00756DB3"/>
    <w:rsid w:val="00756EFC"/>
    <w:rsid w:val="00757DB7"/>
    <w:rsid w:val="00757E26"/>
    <w:rsid w:val="00757F3E"/>
    <w:rsid w:val="007603FF"/>
    <w:rsid w:val="00760805"/>
    <w:rsid w:val="00761B7F"/>
    <w:rsid w:val="007624B1"/>
    <w:rsid w:val="00762EA6"/>
    <w:rsid w:val="00762EA8"/>
    <w:rsid w:val="00764F0C"/>
    <w:rsid w:val="007654BC"/>
    <w:rsid w:val="007657BD"/>
    <w:rsid w:val="00765830"/>
    <w:rsid w:val="00765A01"/>
    <w:rsid w:val="00771BDE"/>
    <w:rsid w:val="00771C70"/>
    <w:rsid w:val="0077224B"/>
    <w:rsid w:val="007726DA"/>
    <w:rsid w:val="0077412F"/>
    <w:rsid w:val="00774E8C"/>
    <w:rsid w:val="0077510F"/>
    <w:rsid w:val="0077527A"/>
    <w:rsid w:val="00776B85"/>
    <w:rsid w:val="00776F46"/>
    <w:rsid w:val="0078058D"/>
    <w:rsid w:val="00780886"/>
    <w:rsid w:val="00781B4C"/>
    <w:rsid w:val="007829C7"/>
    <w:rsid w:val="0078757B"/>
    <w:rsid w:val="007875BE"/>
    <w:rsid w:val="0079099F"/>
    <w:rsid w:val="007914A9"/>
    <w:rsid w:val="00791DC2"/>
    <w:rsid w:val="0079542D"/>
    <w:rsid w:val="00795683"/>
    <w:rsid w:val="00796106"/>
    <w:rsid w:val="0079672F"/>
    <w:rsid w:val="0079798E"/>
    <w:rsid w:val="00797A20"/>
    <w:rsid w:val="00797DA0"/>
    <w:rsid w:val="007A0213"/>
    <w:rsid w:val="007A07CB"/>
    <w:rsid w:val="007A08E4"/>
    <w:rsid w:val="007A0F5C"/>
    <w:rsid w:val="007A40C2"/>
    <w:rsid w:val="007A420D"/>
    <w:rsid w:val="007A5DCC"/>
    <w:rsid w:val="007A6B21"/>
    <w:rsid w:val="007A6B51"/>
    <w:rsid w:val="007B0C29"/>
    <w:rsid w:val="007B1E32"/>
    <w:rsid w:val="007B247D"/>
    <w:rsid w:val="007B26BF"/>
    <w:rsid w:val="007B2998"/>
    <w:rsid w:val="007B3B1C"/>
    <w:rsid w:val="007B4300"/>
    <w:rsid w:val="007B6232"/>
    <w:rsid w:val="007B68BE"/>
    <w:rsid w:val="007B79AA"/>
    <w:rsid w:val="007B7DE6"/>
    <w:rsid w:val="007C05C5"/>
    <w:rsid w:val="007C1F27"/>
    <w:rsid w:val="007C2083"/>
    <w:rsid w:val="007C255C"/>
    <w:rsid w:val="007C2B4D"/>
    <w:rsid w:val="007C3A16"/>
    <w:rsid w:val="007C3F30"/>
    <w:rsid w:val="007C4006"/>
    <w:rsid w:val="007C4949"/>
    <w:rsid w:val="007C6052"/>
    <w:rsid w:val="007C6675"/>
    <w:rsid w:val="007C7587"/>
    <w:rsid w:val="007C7C77"/>
    <w:rsid w:val="007D0A26"/>
    <w:rsid w:val="007D0BCA"/>
    <w:rsid w:val="007D1A3E"/>
    <w:rsid w:val="007D28B8"/>
    <w:rsid w:val="007D2946"/>
    <w:rsid w:val="007D2B56"/>
    <w:rsid w:val="007D2DE4"/>
    <w:rsid w:val="007D2E7C"/>
    <w:rsid w:val="007D2F43"/>
    <w:rsid w:val="007D30C5"/>
    <w:rsid w:val="007D403F"/>
    <w:rsid w:val="007D70FC"/>
    <w:rsid w:val="007D78A8"/>
    <w:rsid w:val="007D7946"/>
    <w:rsid w:val="007E0E47"/>
    <w:rsid w:val="007E1170"/>
    <w:rsid w:val="007E16D1"/>
    <w:rsid w:val="007E1C44"/>
    <w:rsid w:val="007E26D4"/>
    <w:rsid w:val="007E510D"/>
    <w:rsid w:val="007E54FB"/>
    <w:rsid w:val="007E7588"/>
    <w:rsid w:val="007F0603"/>
    <w:rsid w:val="007F180A"/>
    <w:rsid w:val="007F30EF"/>
    <w:rsid w:val="007F407F"/>
    <w:rsid w:val="007F4A64"/>
    <w:rsid w:val="007F4C42"/>
    <w:rsid w:val="007F5BA9"/>
    <w:rsid w:val="007F61F1"/>
    <w:rsid w:val="007F6244"/>
    <w:rsid w:val="007F6BD6"/>
    <w:rsid w:val="007F76FF"/>
    <w:rsid w:val="007F7EA8"/>
    <w:rsid w:val="00800346"/>
    <w:rsid w:val="00800FD3"/>
    <w:rsid w:val="008017FE"/>
    <w:rsid w:val="008022F1"/>
    <w:rsid w:val="0080263F"/>
    <w:rsid w:val="0080466D"/>
    <w:rsid w:val="0080482E"/>
    <w:rsid w:val="00804C80"/>
    <w:rsid w:val="00806160"/>
    <w:rsid w:val="00806C32"/>
    <w:rsid w:val="00806F8F"/>
    <w:rsid w:val="00810B3C"/>
    <w:rsid w:val="00811BA7"/>
    <w:rsid w:val="00811F24"/>
    <w:rsid w:val="00812C64"/>
    <w:rsid w:val="00812F14"/>
    <w:rsid w:val="008132FF"/>
    <w:rsid w:val="00814A40"/>
    <w:rsid w:val="00814EB1"/>
    <w:rsid w:val="00815558"/>
    <w:rsid w:val="00816434"/>
    <w:rsid w:val="0082043B"/>
    <w:rsid w:val="008204BB"/>
    <w:rsid w:val="00820D75"/>
    <w:rsid w:val="00821AC9"/>
    <w:rsid w:val="00824B5B"/>
    <w:rsid w:val="00825070"/>
    <w:rsid w:val="00826283"/>
    <w:rsid w:val="0082668D"/>
    <w:rsid w:val="00830EF0"/>
    <w:rsid w:val="00830FF6"/>
    <w:rsid w:val="00831123"/>
    <w:rsid w:val="00832A2D"/>
    <w:rsid w:val="00832A70"/>
    <w:rsid w:val="008338A8"/>
    <w:rsid w:val="00833E2B"/>
    <w:rsid w:val="008347A3"/>
    <w:rsid w:val="00834F66"/>
    <w:rsid w:val="0083575A"/>
    <w:rsid w:val="00836008"/>
    <w:rsid w:val="00836FEE"/>
    <w:rsid w:val="008378F0"/>
    <w:rsid w:val="00837A6B"/>
    <w:rsid w:val="008413DD"/>
    <w:rsid w:val="008419D8"/>
    <w:rsid w:val="00843CC8"/>
    <w:rsid w:val="00845629"/>
    <w:rsid w:val="0084643D"/>
    <w:rsid w:val="00846B50"/>
    <w:rsid w:val="0084713E"/>
    <w:rsid w:val="00847B1F"/>
    <w:rsid w:val="00847FBF"/>
    <w:rsid w:val="00850281"/>
    <w:rsid w:val="0085073E"/>
    <w:rsid w:val="00851086"/>
    <w:rsid w:val="00852C33"/>
    <w:rsid w:val="00852CA5"/>
    <w:rsid w:val="00852DD9"/>
    <w:rsid w:val="00853F3F"/>
    <w:rsid w:val="00854875"/>
    <w:rsid w:val="00854971"/>
    <w:rsid w:val="00855F16"/>
    <w:rsid w:val="008574F0"/>
    <w:rsid w:val="008614A9"/>
    <w:rsid w:val="00861C72"/>
    <w:rsid w:val="00861C9A"/>
    <w:rsid w:val="00861EF4"/>
    <w:rsid w:val="008620DC"/>
    <w:rsid w:val="00863491"/>
    <w:rsid w:val="00863E4C"/>
    <w:rsid w:val="00864F92"/>
    <w:rsid w:val="00865476"/>
    <w:rsid w:val="00867BA2"/>
    <w:rsid w:val="00867D2E"/>
    <w:rsid w:val="00867DE8"/>
    <w:rsid w:val="00870210"/>
    <w:rsid w:val="008706FA"/>
    <w:rsid w:val="00870828"/>
    <w:rsid w:val="00870FBE"/>
    <w:rsid w:val="008714C2"/>
    <w:rsid w:val="0087182C"/>
    <w:rsid w:val="00872250"/>
    <w:rsid w:val="00872383"/>
    <w:rsid w:val="008728C0"/>
    <w:rsid w:val="00872A55"/>
    <w:rsid w:val="00874E88"/>
    <w:rsid w:val="00875B34"/>
    <w:rsid w:val="00876137"/>
    <w:rsid w:val="0087613B"/>
    <w:rsid w:val="008767A8"/>
    <w:rsid w:val="0087689B"/>
    <w:rsid w:val="00876C89"/>
    <w:rsid w:val="008772CD"/>
    <w:rsid w:val="00877981"/>
    <w:rsid w:val="00880624"/>
    <w:rsid w:val="00882A75"/>
    <w:rsid w:val="00882F5A"/>
    <w:rsid w:val="00883625"/>
    <w:rsid w:val="00883EE3"/>
    <w:rsid w:val="008840A9"/>
    <w:rsid w:val="008844FF"/>
    <w:rsid w:val="00884928"/>
    <w:rsid w:val="00885BAB"/>
    <w:rsid w:val="00885CA1"/>
    <w:rsid w:val="00885F60"/>
    <w:rsid w:val="00886A1B"/>
    <w:rsid w:val="008877A8"/>
    <w:rsid w:val="00887FCF"/>
    <w:rsid w:val="00890489"/>
    <w:rsid w:val="00890845"/>
    <w:rsid w:val="00890D6B"/>
    <w:rsid w:val="008920E2"/>
    <w:rsid w:val="00893003"/>
    <w:rsid w:val="00894589"/>
    <w:rsid w:val="008951DF"/>
    <w:rsid w:val="0089602D"/>
    <w:rsid w:val="00896C3D"/>
    <w:rsid w:val="00897CEC"/>
    <w:rsid w:val="008A0171"/>
    <w:rsid w:val="008A1DE9"/>
    <w:rsid w:val="008A1F6B"/>
    <w:rsid w:val="008A23F7"/>
    <w:rsid w:val="008A2497"/>
    <w:rsid w:val="008A3648"/>
    <w:rsid w:val="008A3955"/>
    <w:rsid w:val="008A3E73"/>
    <w:rsid w:val="008A4F28"/>
    <w:rsid w:val="008A5263"/>
    <w:rsid w:val="008A5F37"/>
    <w:rsid w:val="008A6040"/>
    <w:rsid w:val="008A7465"/>
    <w:rsid w:val="008A7E97"/>
    <w:rsid w:val="008B14C4"/>
    <w:rsid w:val="008B1861"/>
    <w:rsid w:val="008B22D5"/>
    <w:rsid w:val="008B288A"/>
    <w:rsid w:val="008B2C04"/>
    <w:rsid w:val="008B3764"/>
    <w:rsid w:val="008B53F1"/>
    <w:rsid w:val="008B65C3"/>
    <w:rsid w:val="008B6E06"/>
    <w:rsid w:val="008B7FD2"/>
    <w:rsid w:val="008C033F"/>
    <w:rsid w:val="008C0C30"/>
    <w:rsid w:val="008C108C"/>
    <w:rsid w:val="008C118F"/>
    <w:rsid w:val="008C152A"/>
    <w:rsid w:val="008C2124"/>
    <w:rsid w:val="008C22D2"/>
    <w:rsid w:val="008C336F"/>
    <w:rsid w:val="008C3850"/>
    <w:rsid w:val="008C46B6"/>
    <w:rsid w:val="008C51C8"/>
    <w:rsid w:val="008C583B"/>
    <w:rsid w:val="008C58C9"/>
    <w:rsid w:val="008C5933"/>
    <w:rsid w:val="008C6481"/>
    <w:rsid w:val="008C7121"/>
    <w:rsid w:val="008C7CDF"/>
    <w:rsid w:val="008D0247"/>
    <w:rsid w:val="008D09C4"/>
    <w:rsid w:val="008D1FAC"/>
    <w:rsid w:val="008D269A"/>
    <w:rsid w:val="008D2D15"/>
    <w:rsid w:val="008D33EE"/>
    <w:rsid w:val="008D39E3"/>
    <w:rsid w:val="008D5CC8"/>
    <w:rsid w:val="008E0C82"/>
    <w:rsid w:val="008E1077"/>
    <w:rsid w:val="008E1390"/>
    <w:rsid w:val="008E2D44"/>
    <w:rsid w:val="008E2D79"/>
    <w:rsid w:val="008E3F2E"/>
    <w:rsid w:val="008E48EC"/>
    <w:rsid w:val="008E4A8F"/>
    <w:rsid w:val="008E4C42"/>
    <w:rsid w:val="008E59CF"/>
    <w:rsid w:val="008E628A"/>
    <w:rsid w:val="008E6486"/>
    <w:rsid w:val="008E64AD"/>
    <w:rsid w:val="008E67A7"/>
    <w:rsid w:val="008E7B9B"/>
    <w:rsid w:val="008F016A"/>
    <w:rsid w:val="008F0201"/>
    <w:rsid w:val="008F156E"/>
    <w:rsid w:val="008F4DDD"/>
    <w:rsid w:val="008F4DE9"/>
    <w:rsid w:val="008F542B"/>
    <w:rsid w:val="008F6833"/>
    <w:rsid w:val="008F70D9"/>
    <w:rsid w:val="00900D0C"/>
    <w:rsid w:val="0090185F"/>
    <w:rsid w:val="00901F63"/>
    <w:rsid w:val="00902175"/>
    <w:rsid w:val="00902352"/>
    <w:rsid w:val="00903E67"/>
    <w:rsid w:val="00904D63"/>
    <w:rsid w:val="00906B09"/>
    <w:rsid w:val="00907523"/>
    <w:rsid w:val="00910CB2"/>
    <w:rsid w:val="009134B0"/>
    <w:rsid w:val="0091423E"/>
    <w:rsid w:val="00914444"/>
    <w:rsid w:val="00914DEA"/>
    <w:rsid w:val="0091532A"/>
    <w:rsid w:val="00915390"/>
    <w:rsid w:val="00915CA3"/>
    <w:rsid w:val="009161C1"/>
    <w:rsid w:val="00916252"/>
    <w:rsid w:val="00916B07"/>
    <w:rsid w:val="009209F7"/>
    <w:rsid w:val="00920CCF"/>
    <w:rsid w:val="00920F3D"/>
    <w:rsid w:val="00921FD5"/>
    <w:rsid w:val="00922493"/>
    <w:rsid w:val="009233F5"/>
    <w:rsid w:val="00923F8B"/>
    <w:rsid w:val="009254BF"/>
    <w:rsid w:val="0092556B"/>
    <w:rsid w:val="00926B34"/>
    <w:rsid w:val="00930850"/>
    <w:rsid w:val="00931733"/>
    <w:rsid w:val="00931BC4"/>
    <w:rsid w:val="00932A98"/>
    <w:rsid w:val="00932CE0"/>
    <w:rsid w:val="00932D2A"/>
    <w:rsid w:val="00933182"/>
    <w:rsid w:val="00933A7C"/>
    <w:rsid w:val="00933CC4"/>
    <w:rsid w:val="0093509D"/>
    <w:rsid w:val="009366C3"/>
    <w:rsid w:val="00936B8E"/>
    <w:rsid w:val="00936FDB"/>
    <w:rsid w:val="009373EB"/>
    <w:rsid w:val="00937443"/>
    <w:rsid w:val="00937748"/>
    <w:rsid w:val="00937B24"/>
    <w:rsid w:val="00941682"/>
    <w:rsid w:val="00941C50"/>
    <w:rsid w:val="00942785"/>
    <w:rsid w:val="00943A06"/>
    <w:rsid w:val="009450AB"/>
    <w:rsid w:val="009462E5"/>
    <w:rsid w:val="009478F8"/>
    <w:rsid w:val="00947E0A"/>
    <w:rsid w:val="00947E7E"/>
    <w:rsid w:val="0095080B"/>
    <w:rsid w:val="0095105E"/>
    <w:rsid w:val="00951542"/>
    <w:rsid w:val="009520B2"/>
    <w:rsid w:val="0095219B"/>
    <w:rsid w:val="00952C1F"/>
    <w:rsid w:val="00952EC6"/>
    <w:rsid w:val="00954B43"/>
    <w:rsid w:val="00955DB8"/>
    <w:rsid w:val="00956E5A"/>
    <w:rsid w:val="009571CB"/>
    <w:rsid w:val="00957566"/>
    <w:rsid w:val="00957F28"/>
    <w:rsid w:val="009600F5"/>
    <w:rsid w:val="00960509"/>
    <w:rsid w:val="00962F9F"/>
    <w:rsid w:val="009634E5"/>
    <w:rsid w:val="00963A46"/>
    <w:rsid w:val="00963F3C"/>
    <w:rsid w:val="0096407B"/>
    <w:rsid w:val="00965F82"/>
    <w:rsid w:val="00966757"/>
    <w:rsid w:val="009667E5"/>
    <w:rsid w:val="00966DD0"/>
    <w:rsid w:val="009678AB"/>
    <w:rsid w:val="00967B84"/>
    <w:rsid w:val="00970E80"/>
    <w:rsid w:val="0097116E"/>
    <w:rsid w:val="009711E7"/>
    <w:rsid w:val="00971A76"/>
    <w:rsid w:val="009754DE"/>
    <w:rsid w:val="00975A4C"/>
    <w:rsid w:val="00977677"/>
    <w:rsid w:val="00977BF1"/>
    <w:rsid w:val="0098025C"/>
    <w:rsid w:val="009804FE"/>
    <w:rsid w:val="009806E5"/>
    <w:rsid w:val="00980FA2"/>
    <w:rsid w:val="0098304F"/>
    <w:rsid w:val="00983940"/>
    <w:rsid w:val="00983A46"/>
    <w:rsid w:val="00984B89"/>
    <w:rsid w:val="009853A2"/>
    <w:rsid w:val="009853CB"/>
    <w:rsid w:val="0098625E"/>
    <w:rsid w:val="00986778"/>
    <w:rsid w:val="00987671"/>
    <w:rsid w:val="009876C7"/>
    <w:rsid w:val="00987A4E"/>
    <w:rsid w:val="009904D9"/>
    <w:rsid w:val="00990633"/>
    <w:rsid w:val="00990B6C"/>
    <w:rsid w:val="00990BAA"/>
    <w:rsid w:val="00990DDE"/>
    <w:rsid w:val="0099134F"/>
    <w:rsid w:val="00991B1E"/>
    <w:rsid w:val="009932FD"/>
    <w:rsid w:val="0099364B"/>
    <w:rsid w:val="0099366C"/>
    <w:rsid w:val="0099367F"/>
    <w:rsid w:val="009945D7"/>
    <w:rsid w:val="00995842"/>
    <w:rsid w:val="0099664C"/>
    <w:rsid w:val="009973B6"/>
    <w:rsid w:val="009977A6"/>
    <w:rsid w:val="00997ABB"/>
    <w:rsid w:val="009A0171"/>
    <w:rsid w:val="009A05D2"/>
    <w:rsid w:val="009A1B2D"/>
    <w:rsid w:val="009A1C12"/>
    <w:rsid w:val="009A1DE2"/>
    <w:rsid w:val="009A217C"/>
    <w:rsid w:val="009A2DF8"/>
    <w:rsid w:val="009A2DFA"/>
    <w:rsid w:val="009A334A"/>
    <w:rsid w:val="009A334E"/>
    <w:rsid w:val="009A3390"/>
    <w:rsid w:val="009A4914"/>
    <w:rsid w:val="009A5BFC"/>
    <w:rsid w:val="009A69AC"/>
    <w:rsid w:val="009A6E4C"/>
    <w:rsid w:val="009B0045"/>
    <w:rsid w:val="009B01DE"/>
    <w:rsid w:val="009B0218"/>
    <w:rsid w:val="009B0E89"/>
    <w:rsid w:val="009B1157"/>
    <w:rsid w:val="009B1454"/>
    <w:rsid w:val="009B4A6F"/>
    <w:rsid w:val="009B4B97"/>
    <w:rsid w:val="009B5691"/>
    <w:rsid w:val="009B6A3B"/>
    <w:rsid w:val="009C0B08"/>
    <w:rsid w:val="009C0F86"/>
    <w:rsid w:val="009C161E"/>
    <w:rsid w:val="009C2430"/>
    <w:rsid w:val="009C2CD0"/>
    <w:rsid w:val="009C35F0"/>
    <w:rsid w:val="009C3646"/>
    <w:rsid w:val="009C3A31"/>
    <w:rsid w:val="009C402D"/>
    <w:rsid w:val="009C4669"/>
    <w:rsid w:val="009C547D"/>
    <w:rsid w:val="009D011B"/>
    <w:rsid w:val="009D0467"/>
    <w:rsid w:val="009D1E5B"/>
    <w:rsid w:val="009D3804"/>
    <w:rsid w:val="009D3B6E"/>
    <w:rsid w:val="009D4722"/>
    <w:rsid w:val="009D4ECA"/>
    <w:rsid w:val="009D4FB8"/>
    <w:rsid w:val="009D51E7"/>
    <w:rsid w:val="009D5428"/>
    <w:rsid w:val="009D5989"/>
    <w:rsid w:val="009D669B"/>
    <w:rsid w:val="009D6720"/>
    <w:rsid w:val="009E063A"/>
    <w:rsid w:val="009E0879"/>
    <w:rsid w:val="009E1BFA"/>
    <w:rsid w:val="009E1F44"/>
    <w:rsid w:val="009E2263"/>
    <w:rsid w:val="009E22AB"/>
    <w:rsid w:val="009E2AE3"/>
    <w:rsid w:val="009E361C"/>
    <w:rsid w:val="009E4FA8"/>
    <w:rsid w:val="009E4FF1"/>
    <w:rsid w:val="009E614E"/>
    <w:rsid w:val="009E650D"/>
    <w:rsid w:val="009E6786"/>
    <w:rsid w:val="009E67E3"/>
    <w:rsid w:val="009E7723"/>
    <w:rsid w:val="009E7BAF"/>
    <w:rsid w:val="009E7C65"/>
    <w:rsid w:val="009F034D"/>
    <w:rsid w:val="009F0F4E"/>
    <w:rsid w:val="009F193F"/>
    <w:rsid w:val="009F1E2D"/>
    <w:rsid w:val="009F327B"/>
    <w:rsid w:val="009F3DD8"/>
    <w:rsid w:val="009F405A"/>
    <w:rsid w:val="009F6AB1"/>
    <w:rsid w:val="00A00793"/>
    <w:rsid w:val="00A00B9D"/>
    <w:rsid w:val="00A01255"/>
    <w:rsid w:val="00A01556"/>
    <w:rsid w:val="00A02363"/>
    <w:rsid w:val="00A024AE"/>
    <w:rsid w:val="00A03A4F"/>
    <w:rsid w:val="00A04993"/>
    <w:rsid w:val="00A04BA9"/>
    <w:rsid w:val="00A053E4"/>
    <w:rsid w:val="00A05AF0"/>
    <w:rsid w:val="00A06318"/>
    <w:rsid w:val="00A066AA"/>
    <w:rsid w:val="00A0683F"/>
    <w:rsid w:val="00A07365"/>
    <w:rsid w:val="00A077FA"/>
    <w:rsid w:val="00A07E48"/>
    <w:rsid w:val="00A100B3"/>
    <w:rsid w:val="00A1108D"/>
    <w:rsid w:val="00A11368"/>
    <w:rsid w:val="00A11965"/>
    <w:rsid w:val="00A12DC2"/>
    <w:rsid w:val="00A13DB4"/>
    <w:rsid w:val="00A13F34"/>
    <w:rsid w:val="00A1438A"/>
    <w:rsid w:val="00A1453E"/>
    <w:rsid w:val="00A14C7C"/>
    <w:rsid w:val="00A15182"/>
    <w:rsid w:val="00A15C38"/>
    <w:rsid w:val="00A175B6"/>
    <w:rsid w:val="00A2035C"/>
    <w:rsid w:val="00A20B84"/>
    <w:rsid w:val="00A20D06"/>
    <w:rsid w:val="00A20DB1"/>
    <w:rsid w:val="00A2102B"/>
    <w:rsid w:val="00A21225"/>
    <w:rsid w:val="00A21C27"/>
    <w:rsid w:val="00A22059"/>
    <w:rsid w:val="00A23655"/>
    <w:rsid w:val="00A23748"/>
    <w:rsid w:val="00A247A5"/>
    <w:rsid w:val="00A24BAC"/>
    <w:rsid w:val="00A26C03"/>
    <w:rsid w:val="00A26F87"/>
    <w:rsid w:val="00A308CC"/>
    <w:rsid w:val="00A30A83"/>
    <w:rsid w:val="00A310FB"/>
    <w:rsid w:val="00A3158D"/>
    <w:rsid w:val="00A316F2"/>
    <w:rsid w:val="00A31F03"/>
    <w:rsid w:val="00A3246D"/>
    <w:rsid w:val="00A333A7"/>
    <w:rsid w:val="00A33466"/>
    <w:rsid w:val="00A33A17"/>
    <w:rsid w:val="00A33D05"/>
    <w:rsid w:val="00A33E3F"/>
    <w:rsid w:val="00A346B8"/>
    <w:rsid w:val="00A34C59"/>
    <w:rsid w:val="00A35ADA"/>
    <w:rsid w:val="00A35D46"/>
    <w:rsid w:val="00A365D8"/>
    <w:rsid w:val="00A3761C"/>
    <w:rsid w:val="00A4026A"/>
    <w:rsid w:val="00A41D98"/>
    <w:rsid w:val="00A421CA"/>
    <w:rsid w:val="00A43E4F"/>
    <w:rsid w:val="00A45029"/>
    <w:rsid w:val="00A452F6"/>
    <w:rsid w:val="00A453ED"/>
    <w:rsid w:val="00A464FB"/>
    <w:rsid w:val="00A47426"/>
    <w:rsid w:val="00A500BF"/>
    <w:rsid w:val="00A512C9"/>
    <w:rsid w:val="00A51E30"/>
    <w:rsid w:val="00A51EA0"/>
    <w:rsid w:val="00A52189"/>
    <w:rsid w:val="00A52A65"/>
    <w:rsid w:val="00A52C95"/>
    <w:rsid w:val="00A5330F"/>
    <w:rsid w:val="00A534D9"/>
    <w:rsid w:val="00A537E8"/>
    <w:rsid w:val="00A5568F"/>
    <w:rsid w:val="00A5591C"/>
    <w:rsid w:val="00A55B82"/>
    <w:rsid w:val="00A55C15"/>
    <w:rsid w:val="00A563BB"/>
    <w:rsid w:val="00A57773"/>
    <w:rsid w:val="00A577D8"/>
    <w:rsid w:val="00A57B34"/>
    <w:rsid w:val="00A613F8"/>
    <w:rsid w:val="00A61799"/>
    <w:rsid w:val="00A6273F"/>
    <w:rsid w:val="00A62E12"/>
    <w:rsid w:val="00A63200"/>
    <w:rsid w:val="00A63459"/>
    <w:rsid w:val="00A64294"/>
    <w:rsid w:val="00A64626"/>
    <w:rsid w:val="00A648E4"/>
    <w:rsid w:val="00A65500"/>
    <w:rsid w:val="00A657CF"/>
    <w:rsid w:val="00A65894"/>
    <w:rsid w:val="00A65B8D"/>
    <w:rsid w:val="00A65FCC"/>
    <w:rsid w:val="00A6704F"/>
    <w:rsid w:val="00A672C5"/>
    <w:rsid w:val="00A6759D"/>
    <w:rsid w:val="00A67604"/>
    <w:rsid w:val="00A70825"/>
    <w:rsid w:val="00A7117E"/>
    <w:rsid w:val="00A7150E"/>
    <w:rsid w:val="00A71729"/>
    <w:rsid w:val="00A71AC5"/>
    <w:rsid w:val="00A71C0C"/>
    <w:rsid w:val="00A71FBA"/>
    <w:rsid w:val="00A72547"/>
    <w:rsid w:val="00A72E3F"/>
    <w:rsid w:val="00A73269"/>
    <w:rsid w:val="00A736A1"/>
    <w:rsid w:val="00A75587"/>
    <w:rsid w:val="00A7584C"/>
    <w:rsid w:val="00A75973"/>
    <w:rsid w:val="00A7615C"/>
    <w:rsid w:val="00A762D3"/>
    <w:rsid w:val="00A76C98"/>
    <w:rsid w:val="00A77453"/>
    <w:rsid w:val="00A77A0C"/>
    <w:rsid w:val="00A77FAF"/>
    <w:rsid w:val="00A8053D"/>
    <w:rsid w:val="00A80976"/>
    <w:rsid w:val="00A81EE3"/>
    <w:rsid w:val="00A833AF"/>
    <w:rsid w:val="00A835C7"/>
    <w:rsid w:val="00A842E4"/>
    <w:rsid w:val="00A847F9"/>
    <w:rsid w:val="00A8541F"/>
    <w:rsid w:val="00A8598A"/>
    <w:rsid w:val="00A86071"/>
    <w:rsid w:val="00A86088"/>
    <w:rsid w:val="00A86632"/>
    <w:rsid w:val="00A87471"/>
    <w:rsid w:val="00A8788D"/>
    <w:rsid w:val="00A9080D"/>
    <w:rsid w:val="00A90915"/>
    <w:rsid w:val="00A90968"/>
    <w:rsid w:val="00A90DE6"/>
    <w:rsid w:val="00A92D33"/>
    <w:rsid w:val="00A95F4D"/>
    <w:rsid w:val="00A97A5C"/>
    <w:rsid w:val="00A97CB7"/>
    <w:rsid w:val="00AA0833"/>
    <w:rsid w:val="00AA12BC"/>
    <w:rsid w:val="00AA148C"/>
    <w:rsid w:val="00AA1780"/>
    <w:rsid w:val="00AA22CC"/>
    <w:rsid w:val="00AA2588"/>
    <w:rsid w:val="00AA3E88"/>
    <w:rsid w:val="00AA4494"/>
    <w:rsid w:val="00AA55BF"/>
    <w:rsid w:val="00AA7634"/>
    <w:rsid w:val="00AB090B"/>
    <w:rsid w:val="00AB0F70"/>
    <w:rsid w:val="00AB1056"/>
    <w:rsid w:val="00AB1CCC"/>
    <w:rsid w:val="00AB1EF8"/>
    <w:rsid w:val="00AB2463"/>
    <w:rsid w:val="00AB333C"/>
    <w:rsid w:val="00AB4525"/>
    <w:rsid w:val="00AB4FA4"/>
    <w:rsid w:val="00AB66B0"/>
    <w:rsid w:val="00AB69A2"/>
    <w:rsid w:val="00AB6F44"/>
    <w:rsid w:val="00AC0009"/>
    <w:rsid w:val="00AC1133"/>
    <w:rsid w:val="00AC15B0"/>
    <w:rsid w:val="00AC1DBF"/>
    <w:rsid w:val="00AC1FDF"/>
    <w:rsid w:val="00AC2437"/>
    <w:rsid w:val="00AC2BF3"/>
    <w:rsid w:val="00AC3393"/>
    <w:rsid w:val="00AC349E"/>
    <w:rsid w:val="00AC3D47"/>
    <w:rsid w:val="00AC435A"/>
    <w:rsid w:val="00AC4AF8"/>
    <w:rsid w:val="00AC4D68"/>
    <w:rsid w:val="00AC5545"/>
    <w:rsid w:val="00AC589D"/>
    <w:rsid w:val="00AC5B0C"/>
    <w:rsid w:val="00AC5CF1"/>
    <w:rsid w:val="00AC67A7"/>
    <w:rsid w:val="00AC7233"/>
    <w:rsid w:val="00AC7D72"/>
    <w:rsid w:val="00AC7E0D"/>
    <w:rsid w:val="00AD0DD8"/>
    <w:rsid w:val="00AD198E"/>
    <w:rsid w:val="00AD1DB9"/>
    <w:rsid w:val="00AD25EB"/>
    <w:rsid w:val="00AD2C66"/>
    <w:rsid w:val="00AD31DE"/>
    <w:rsid w:val="00AD34B8"/>
    <w:rsid w:val="00AD5A1E"/>
    <w:rsid w:val="00AD7A48"/>
    <w:rsid w:val="00AD7AE5"/>
    <w:rsid w:val="00AD7F44"/>
    <w:rsid w:val="00AE096C"/>
    <w:rsid w:val="00AE1E63"/>
    <w:rsid w:val="00AE2CBD"/>
    <w:rsid w:val="00AE434C"/>
    <w:rsid w:val="00AE501A"/>
    <w:rsid w:val="00AE57F9"/>
    <w:rsid w:val="00AE6683"/>
    <w:rsid w:val="00AE66FA"/>
    <w:rsid w:val="00AE6B4C"/>
    <w:rsid w:val="00AE6BD6"/>
    <w:rsid w:val="00AE6D2B"/>
    <w:rsid w:val="00AF0263"/>
    <w:rsid w:val="00AF0AE9"/>
    <w:rsid w:val="00AF0B9E"/>
    <w:rsid w:val="00AF1275"/>
    <w:rsid w:val="00AF12F3"/>
    <w:rsid w:val="00AF1363"/>
    <w:rsid w:val="00AF67C9"/>
    <w:rsid w:val="00AF730F"/>
    <w:rsid w:val="00B00303"/>
    <w:rsid w:val="00B0043F"/>
    <w:rsid w:val="00B01BB2"/>
    <w:rsid w:val="00B01E8D"/>
    <w:rsid w:val="00B02960"/>
    <w:rsid w:val="00B03F32"/>
    <w:rsid w:val="00B03F34"/>
    <w:rsid w:val="00B0415F"/>
    <w:rsid w:val="00B0453F"/>
    <w:rsid w:val="00B04582"/>
    <w:rsid w:val="00B051BC"/>
    <w:rsid w:val="00B06CE5"/>
    <w:rsid w:val="00B06DFD"/>
    <w:rsid w:val="00B07443"/>
    <w:rsid w:val="00B074FA"/>
    <w:rsid w:val="00B07C27"/>
    <w:rsid w:val="00B12355"/>
    <w:rsid w:val="00B12727"/>
    <w:rsid w:val="00B12BA6"/>
    <w:rsid w:val="00B12E3D"/>
    <w:rsid w:val="00B12F52"/>
    <w:rsid w:val="00B136ED"/>
    <w:rsid w:val="00B14684"/>
    <w:rsid w:val="00B147E8"/>
    <w:rsid w:val="00B156DA"/>
    <w:rsid w:val="00B15BC9"/>
    <w:rsid w:val="00B16868"/>
    <w:rsid w:val="00B16B27"/>
    <w:rsid w:val="00B16EFC"/>
    <w:rsid w:val="00B17714"/>
    <w:rsid w:val="00B21BB9"/>
    <w:rsid w:val="00B22903"/>
    <w:rsid w:val="00B22DA3"/>
    <w:rsid w:val="00B23725"/>
    <w:rsid w:val="00B26ECD"/>
    <w:rsid w:val="00B272EC"/>
    <w:rsid w:val="00B27913"/>
    <w:rsid w:val="00B27E80"/>
    <w:rsid w:val="00B304CB"/>
    <w:rsid w:val="00B31357"/>
    <w:rsid w:val="00B31DF9"/>
    <w:rsid w:val="00B32E31"/>
    <w:rsid w:val="00B33E03"/>
    <w:rsid w:val="00B3435C"/>
    <w:rsid w:val="00B35B3F"/>
    <w:rsid w:val="00B35BA7"/>
    <w:rsid w:val="00B369DA"/>
    <w:rsid w:val="00B36E7C"/>
    <w:rsid w:val="00B379F4"/>
    <w:rsid w:val="00B37B5A"/>
    <w:rsid w:val="00B37B6E"/>
    <w:rsid w:val="00B37C28"/>
    <w:rsid w:val="00B4318C"/>
    <w:rsid w:val="00B4586E"/>
    <w:rsid w:val="00B47128"/>
    <w:rsid w:val="00B4789D"/>
    <w:rsid w:val="00B478FD"/>
    <w:rsid w:val="00B4795B"/>
    <w:rsid w:val="00B47BD8"/>
    <w:rsid w:val="00B5106B"/>
    <w:rsid w:val="00B514E5"/>
    <w:rsid w:val="00B5277E"/>
    <w:rsid w:val="00B53A2A"/>
    <w:rsid w:val="00B54AE4"/>
    <w:rsid w:val="00B54DAE"/>
    <w:rsid w:val="00B54FA9"/>
    <w:rsid w:val="00B551EB"/>
    <w:rsid w:val="00B556A6"/>
    <w:rsid w:val="00B55F5F"/>
    <w:rsid w:val="00B563F7"/>
    <w:rsid w:val="00B564C8"/>
    <w:rsid w:val="00B5785C"/>
    <w:rsid w:val="00B632CD"/>
    <w:rsid w:val="00B64F67"/>
    <w:rsid w:val="00B651A4"/>
    <w:rsid w:val="00B65F0C"/>
    <w:rsid w:val="00B66EB9"/>
    <w:rsid w:val="00B70BF1"/>
    <w:rsid w:val="00B70E66"/>
    <w:rsid w:val="00B72752"/>
    <w:rsid w:val="00B72EC3"/>
    <w:rsid w:val="00B7346F"/>
    <w:rsid w:val="00B749FC"/>
    <w:rsid w:val="00B74D99"/>
    <w:rsid w:val="00B75BDF"/>
    <w:rsid w:val="00B7689A"/>
    <w:rsid w:val="00B76F88"/>
    <w:rsid w:val="00B808B2"/>
    <w:rsid w:val="00B811EE"/>
    <w:rsid w:val="00B812F5"/>
    <w:rsid w:val="00B81493"/>
    <w:rsid w:val="00B81669"/>
    <w:rsid w:val="00B8237C"/>
    <w:rsid w:val="00B826BB"/>
    <w:rsid w:val="00B828CF"/>
    <w:rsid w:val="00B834C6"/>
    <w:rsid w:val="00B83775"/>
    <w:rsid w:val="00B83B15"/>
    <w:rsid w:val="00B83F80"/>
    <w:rsid w:val="00B85962"/>
    <w:rsid w:val="00B864C1"/>
    <w:rsid w:val="00B86EAC"/>
    <w:rsid w:val="00B87DC9"/>
    <w:rsid w:val="00B90A94"/>
    <w:rsid w:val="00B91A98"/>
    <w:rsid w:val="00B92962"/>
    <w:rsid w:val="00B9527A"/>
    <w:rsid w:val="00B96A10"/>
    <w:rsid w:val="00B96DFC"/>
    <w:rsid w:val="00BA1DA4"/>
    <w:rsid w:val="00BA2570"/>
    <w:rsid w:val="00BA2ABA"/>
    <w:rsid w:val="00BA37E7"/>
    <w:rsid w:val="00BA3B21"/>
    <w:rsid w:val="00BA3B7F"/>
    <w:rsid w:val="00BA4E5C"/>
    <w:rsid w:val="00BA536C"/>
    <w:rsid w:val="00BA649B"/>
    <w:rsid w:val="00BA686C"/>
    <w:rsid w:val="00BA6D74"/>
    <w:rsid w:val="00BA76F3"/>
    <w:rsid w:val="00BA7C5E"/>
    <w:rsid w:val="00BB0F3B"/>
    <w:rsid w:val="00BB16B9"/>
    <w:rsid w:val="00BB26A7"/>
    <w:rsid w:val="00BB2930"/>
    <w:rsid w:val="00BB2BE5"/>
    <w:rsid w:val="00BB2F6B"/>
    <w:rsid w:val="00BB3888"/>
    <w:rsid w:val="00BB3ADD"/>
    <w:rsid w:val="00BB6A6A"/>
    <w:rsid w:val="00BB6B44"/>
    <w:rsid w:val="00BB7719"/>
    <w:rsid w:val="00BB7D4E"/>
    <w:rsid w:val="00BB7D67"/>
    <w:rsid w:val="00BC0260"/>
    <w:rsid w:val="00BC0312"/>
    <w:rsid w:val="00BC0922"/>
    <w:rsid w:val="00BC0C98"/>
    <w:rsid w:val="00BC1D22"/>
    <w:rsid w:val="00BC2860"/>
    <w:rsid w:val="00BC2FEB"/>
    <w:rsid w:val="00BC3C46"/>
    <w:rsid w:val="00BC6543"/>
    <w:rsid w:val="00BC6EA2"/>
    <w:rsid w:val="00BC79C8"/>
    <w:rsid w:val="00BD0266"/>
    <w:rsid w:val="00BD0280"/>
    <w:rsid w:val="00BD155C"/>
    <w:rsid w:val="00BD17ED"/>
    <w:rsid w:val="00BD1C11"/>
    <w:rsid w:val="00BD275C"/>
    <w:rsid w:val="00BD3DB5"/>
    <w:rsid w:val="00BD505A"/>
    <w:rsid w:val="00BE039A"/>
    <w:rsid w:val="00BE0CE2"/>
    <w:rsid w:val="00BE1996"/>
    <w:rsid w:val="00BE2BDE"/>
    <w:rsid w:val="00BE42E7"/>
    <w:rsid w:val="00BE58EF"/>
    <w:rsid w:val="00BE5BD6"/>
    <w:rsid w:val="00BE6A06"/>
    <w:rsid w:val="00BE6AF8"/>
    <w:rsid w:val="00BE7504"/>
    <w:rsid w:val="00BE7CBB"/>
    <w:rsid w:val="00BF0F54"/>
    <w:rsid w:val="00BF3DCE"/>
    <w:rsid w:val="00BF456A"/>
    <w:rsid w:val="00BF507A"/>
    <w:rsid w:val="00BF5192"/>
    <w:rsid w:val="00BF5385"/>
    <w:rsid w:val="00BF54E1"/>
    <w:rsid w:val="00BF54EE"/>
    <w:rsid w:val="00BF56C8"/>
    <w:rsid w:val="00BF6650"/>
    <w:rsid w:val="00C00136"/>
    <w:rsid w:val="00C025F8"/>
    <w:rsid w:val="00C03DFB"/>
    <w:rsid w:val="00C03EFD"/>
    <w:rsid w:val="00C04C84"/>
    <w:rsid w:val="00C054E2"/>
    <w:rsid w:val="00C062A7"/>
    <w:rsid w:val="00C07B60"/>
    <w:rsid w:val="00C10C93"/>
    <w:rsid w:val="00C10E01"/>
    <w:rsid w:val="00C11041"/>
    <w:rsid w:val="00C119A5"/>
    <w:rsid w:val="00C11E4C"/>
    <w:rsid w:val="00C133C7"/>
    <w:rsid w:val="00C1394F"/>
    <w:rsid w:val="00C158B8"/>
    <w:rsid w:val="00C16129"/>
    <w:rsid w:val="00C1637A"/>
    <w:rsid w:val="00C163EB"/>
    <w:rsid w:val="00C16675"/>
    <w:rsid w:val="00C16CAB"/>
    <w:rsid w:val="00C17E4A"/>
    <w:rsid w:val="00C17F27"/>
    <w:rsid w:val="00C20467"/>
    <w:rsid w:val="00C23C0D"/>
    <w:rsid w:val="00C24065"/>
    <w:rsid w:val="00C241F3"/>
    <w:rsid w:val="00C24399"/>
    <w:rsid w:val="00C24648"/>
    <w:rsid w:val="00C2551F"/>
    <w:rsid w:val="00C2589F"/>
    <w:rsid w:val="00C2606D"/>
    <w:rsid w:val="00C265DB"/>
    <w:rsid w:val="00C26919"/>
    <w:rsid w:val="00C26A0D"/>
    <w:rsid w:val="00C27DAA"/>
    <w:rsid w:val="00C31383"/>
    <w:rsid w:val="00C31AE7"/>
    <w:rsid w:val="00C32781"/>
    <w:rsid w:val="00C339F3"/>
    <w:rsid w:val="00C33C7D"/>
    <w:rsid w:val="00C33CF7"/>
    <w:rsid w:val="00C3431C"/>
    <w:rsid w:val="00C34784"/>
    <w:rsid w:val="00C35793"/>
    <w:rsid w:val="00C35B0C"/>
    <w:rsid w:val="00C36EDE"/>
    <w:rsid w:val="00C375E5"/>
    <w:rsid w:val="00C378C0"/>
    <w:rsid w:val="00C379AA"/>
    <w:rsid w:val="00C37B04"/>
    <w:rsid w:val="00C37CA9"/>
    <w:rsid w:val="00C40110"/>
    <w:rsid w:val="00C407DD"/>
    <w:rsid w:val="00C40877"/>
    <w:rsid w:val="00C415CC"/>
    <w:rsid w:val="00C41BA8"/>
    <w:rsid w:val="00C42801"/>
    <w:rsid w:val="00C44028"/>
    <w:rsid w:val="00C44189"/>
    <w:rsid w:val="00C454E4"/>
    <w:rsid w:val="00C507CD"/>
    <w:rsid w:val="00C51616"/>
    <w:rsid w:val="00C5300F"/>
    <w:rsid w:val="00C53641"/>
    <w:rsid w:val="00C54D82"/>
    <w:rsid w:val="00C55E20"/>
    <w:rsid w:val="00C56CAD"/>
    <w:rsid w:val="00C578D2"/>
    <w:rsid w:val="00C57F4C"/>
    <w:rsid w:val="00C6296C"/>
    <w:rsid w:val="00C62C18"/>
    <w:rsid w:val="00C62F3C"/>
    <w:rsid w:val="00C64009"/>
    <w:rsid w:val="00C6455E"/>
    <w:rsid w:val="00C66D62"/>
    <w:rsid w:val="00C66E6D"/>
    <w:rsid w:val="00C66FB8"/>
    <w:rsid w:val="00C6724C"/>
    <w:rsid w:val="00C703DB"/>
    <w:rsid w:val="00C70871"/>
    <w:rsid w:val="00C70A78"/>
    <w:rsid w:val="00C70E4C"/>
    <w:rsid w:val="00C7135E"/>
    <w:rsid w:val="00C7153B"/>
    <w:rsid w:val="00C718D7"/>
    <w:rsid w:val="00C71C3A"/>
    <w:rsid w:val="00C71DDE"/>
    <w:rsid w:val="00C71F67"/>
    <w:rsid w:val="00C72282"/>
    <w:rsid w:val="00C73665"/>
    <w:rsid w:val="00C7482E"/>
    <w:rsid w:val="00C7499F"/>
    <w:rsid w:val="00C749E5"/>
    <w:rsid w:val="00C756E9"/>
    <w:rsid w:val="00C75F5C"/>
    <w:rsid w:val="00C76082"/>
    <w:rsid w:val="00C77C90"/>
    <w:rsid w:val="00C80545"/>
    <w:rsid w:val="00C81AFC"/>
    <w:rsid w:val="00C83AB9"/>
    <w:rsid w:val="00C83FB5"/>
    <w:rsid w:val="00C84C90"/>
    <w:rsid w:val="00C85CEC"/>
    <w:rsid w:val="00C860C8"/>
    <w:rsid w:val="00C86153"/>
    <w:rsid w:val="00C86509"/>
    <w:rsid w:val="00C87BE6"/>
    <w:rsid w:val="00C91DF5"/>
    <w:rsid w:val="00C9241C"/>
    <w:rsid w:val="00C92E7C"/>
    <w:rsid w:val="00C941B2"/>
    <w:rsid w:val="00C94B37"/>
    <w:rsid w:val="00C95126"/>
    <w:rsid w:val="00C9570E"/>
    <w:rsid w:val="00C96AB7"/>
    <w:rsid w:val="00C972EB"/>
    <w:rsid w:val="00CA11C5"/>
    <w:rsid w:val="00CA1442"/>
    <w:rsid w:val="00CA14B7"/>
    <w:rsid w:val="00CA17A9"/>
    <w:rsid w:val="00CA35EB"/>
    <w:rsid w:val="00CA459D"/>
    <w:rsid w:val="00CA4A76"/>
    <w:rsid w:val="00CA5640"/>
    <w:rsid w:val="00CA5E77"/>
    <w:rsid w:val="00CA63DE"/>
    <w:rsid w:val="00CA64BF"/>
    <w:rsid w:val="00CA6E1B"/>
    <w:rsid w:val="00CA72EC"/>
    <w:rsid w:val="00CA792C"/>
    <w:rsid w:val="00CA7DF4"/>
    <w:rsid w:val="00CB096F"/>
    <w:rsid w:val="00CB1A65"/>
    <w:rsid w:val="00CB2503"/>
    <w:rsid w:val="00CB37BE"/>
    <w:rsid w:val="00CB45F4"/>
    <w:rsid w:val="00CB4AAA"/>
    <w:rsid w:val="00CB4ACE"/>
    <w:rsid w:val="00CB7AD2"/>
    <w:rsid w:val="00CB7D3B"/>
    <w:rsid w:val="00CB7EF2"/>
    <w:rsid w:val="00CC14D0"/>
    <w:rsid w:val="00CC1961"/>
    <w:rsid w:val="00CC1DE2"/>
    <w:rsid w:val="00CC1FA5"/>
    <w:rsid w:val="00CC2492"/>
    <w:rsid w:val="00CC2CCF"/>
    <w:rsid w:val="00CC3982"/>
    <w:rsid w:val="00CC3986"/>
    <w:rsid w:val="00CC4FEE"/>
    <w:rsid w:val="00CC5187"/>
    <w:rsid w:val="00CC5836"/>
    <w:rsid w:val="00CC6C87"/>
    <w:rsid w:val="00CD1110"/>
    <w:rsid w:val="00CD1173"/>
    <w:rsid w:val="00CD3046"/>
    <w:rsid w:val="00CD32B7"/>
    <w:rsid w:val="00CD5725"/>
    <w:rsid w:val="00CD5AD2"/>
    <w:rsid w:val="00CD5EB1"/>
    <w:rsid w:val="00CE0AF2"/>
    <w:rsid w:val="00CE0D7C"/>
    <w:rsid w:val="00CE3674"/>
    <w:rsid w:val="00CE417C"/>
    <w:rsid w:val="00CE44EC"/>
    <w:rsid w:val="00CE4B8F"/>
    <w:rsid w:val="00CE5D9D"/>
    <w:rsid w:val="00CE6A99"/>
    <w:rsid w:val="00CE6DFD"/>
    <w:rsid w:val="00CF0B1F"/>
    <w:rsid w:val="00CF0F50"/>
    <w:rsid w:val="00CF261A"/>
    <w:rsid w:val="00CF33E8"/>
    <w:rsid w:val="00CF4207"/>
    <w:rsid w:val="00CF4F1A"/>
    <w:rsid w:val="00CF54E2"/>
    <w:rsid w:val="00CF64FE"/>
    <w:rsid w:val="00CF684C"/>
    <w:rsid w:val="00CF6D50"/>
    <w:rsid w:val="00CF6DE2"/>
    <w:rsid w:val="00CF6FCA"/>
    <w:rsid w:val="00CF7776"/>
    <w:rsid w:val="00CF7945"/>
    <w:rsid w:val="00D00381"/>
    <w:rsid w:val="00D008BF"/>
    <w:rsid w:val="00D00CA7"/>
    <w:rsid w:val="00D01126"/>
    <w:rsid w:val="00D02A43"/>
    <w:rsid w:val="00D0312F"/>
    <w:rsid w:val="00D03138"/>
    <w:rsid w:val="00D05CD8"/>
    <w:rsid w:val="00D05E2C"/>
    <w:rsid w:val="00D06987"/>
    <w:rsid w:val="00D06E1C"/>
    <w:rsid w:val="00D07678"/>
    <w:rsid w:val="00D0781C"/>
    <w:rsid w:val="00D07BB3"/>
    <w:rsid w:val="00D10317"/>
    <w:rsid w:val="00D120E0"/>
    <w:rsid w:val="00D12136"/>
    <w:rsid w:val="00D12232"/>
    <w:rsid w:val="00D12447"/>
    <w:rsid w:val="00D124BA"/>
    <w:rsid w:val="00D12DDA"/>
    <w:rsid w:val="00D147B9"/>
    <w:rsid w:val="00D16BF4"/>
    <w:rsid w:val="00D170D0"/>
    <w:rsid w:val="00D2074B"/>
    <w:rsid w:val="00D222AE"/>
    <w:rsid w:val="00D22EC7"/>
    <w:rsid w:val="00D23168"/>
    <w:rsid w:val="00D246FD"/>
    <w:rsid w:val="00D24829"/>
    <w:rsid w:val="00D2667A"/>
    <w:rsid w:val="00D267D0"/>
    <w:rsid w:val="00D26FEE"/>
    <w:rsid w:val="00D30AE5"/>
    <w:rsid w:val="00D31E15"/>
    <w:rsid w:val="00D32B24"/>
    <w:rsid w:val="00D33E78"/>
    <w:rsid w:val="00D33EF4"/>
    <w:rsid w:val="00D34410"/>
    <w:rsid w:val="00D35B8D"/>
    <w:rsid w:val="00D36560"/>
    <w:rsid w:val="00D36C28"/>
    <w:rsid w:val="00D36E4C"/>
    <w:rsid w:val="00D370F0"/>
    <w:rsid w:val="00D3786A"/>
    <w:rsid w:val="00D378D5"/>
    <w:rsid w:val="00D37A94"/>
    <w:rsid w:val="00D4015C"/>
    <w:rsid w:val="00D41E5D"/>
    <w:rsid w:val="00D420AF"/>
    <w:rsid w:val="00D42B03"/>
    <w:rsid w:val="00D43C6F"/>
    <w:rsid w:val="00D43FFA"/>
    <w:rsid w:val="00D452A3"/>
    <w:rsid w:val="00D4574D"/>
    <w:rsid w:val="00D45DD8"/>
    <w:rsid w:val="00D46893"/>
    <w:rsid w:val="00D46C3C"/>
    <w:rsid w:val="00D4720A"/>
    <w:rsid w:val="00D47399"/>
    <w:rsid w:val="00D50C97"/>
    <w:rsid w:val="00D51CCE"/>
    <w:rsid w:val="00D545E6"/>
    <w:rsid w:val="00D54C1E"/>
    <w:rsid w:val="00D560E3"/>
    <w:rsid w:val="00D56270"/>
    <w:rsid w:val="00D571EF"/>
    <w:rsid w:val="00D57220"/>
    <w:rsid w:val="00D60A3A"/>
    <w:rsid w:val="00D60D51"/>
    <w:rsid w:val="00D6153B"/>
    <w:rsid w:val="00D617D6"/>
    <w:rsid w:val="00D619AC"/>
    <w:rsid w:val="00D630F1"/>
    <w:rsid w:val="00D63AAD"/>
    <w:rsid w:val="00D65165"/>
    <w:rsid w:val="00D66087"/>
    <w:rsid w:val="00D660DA"/>
    <w:rsid w:val="00D66D2B"/>
    <w:rsid w:val="00D67571"/>
    <w:rsid w:val="00D67791"/>
    <w:rsid w:val="00D67D29"/>
    <w:rsid w:val="00D703F5"/>
    <w:rsid w:val="00D70AFB"/>
    <w:rsid w:val="00D7198C"/>
    <w:rsid w:val="00D72F88"/>
    <w:rsid w:val="00D73489"/>
    <w:rsid w:val="00D73568"/>
    <w:rsid w:val="00D736C3"/>
    <w:rsid w:val="00D742C8"/>
    <w:rsid w:val="00D744C2"/>
    <w:rsid w:val="00D75CF7"/>
    <w:rsid w:val="00D76854"/>
    <w:rsid w:val="00D772D6"/>
    <w:rsid w:val="00D80083"/>
    <w:rsid w:val="00D801E7"/>
    <w:rsid w:val="00D80CCB"/>
    <w:rsid w:val="00D816FC"/>
    <w:rsid w:val="00D828D3"/>
    <w:rsid w:val="00D832DB"/>
    <w:rsid w:val="00D84C98"/>
    <w:rsid w:val="00D853FD"/>
    <w:rsid w:val="00D85D9F"/>
    <w:rsid w:val="00D8617B"/>
    <w:rsid w:val="00D8653B"/>
    <w:rsid w:val="00D867DD"/>
    <w:rsid w:val="00D86BD5"/>
    <w:rsid w:val="00D905A9"/>
    <w:rsid w:val="00D90F78"/>
    <w:rsid w:val="00D9131C"/>
    <w:rsid w:val="00D91B3E"/>
    <w:rsid w:val="00D921D8"/>
    <w:rsid w:val="00D92593"/>
    <w:rsid w:val="00D9279F"/>
    <w:rsid w:val="00D92CF5"/>
    <w:rsid w:val="00D935D8"/>
    <w:rsid w:val="00D95709"/>
    <w:rsid w:val="00D96407"/>
    <w:rsid w:val="00D97000"/>
    <w:rsid w:val="00D97D82"/>
    <w:rsid w:val="00DA00AC"/>
    <w:rsid w:val="00DA04D0"/>
    <w:rsid w:val="00DA1061"/>
    <w:rsid w:val="00DA367A"/>
    <w:rsid w:val="00DA3893"/>
    <w:rsid w:val="00DA5112"/>
    <w:rsid w:val="00DA75E8"/>
    <w:rsid w:val="00DA793B"/>
    <w:rsid w:val="00DA7F1B"/>
    <w:rsid w:val="00DB0CE0"/>
    <w:rsid w:val="00DB1AEA"/>
    <w:rsid w:val="00DB1EAF"/>
    <w:rsid w:val="00DB3540"/>
    <w:rsid w:val="00DB3A4D"/>
    <w:rsid w:val="00DB3E18"/>
    <w:rsid w:val="00DB3F7E"/>
    <w:rsid w:val="00DB550E"/>
    <w:rsid w:val="00DB7531"/>
    <w:rsid w:val="00DC031A"/>
    <w:rsid w:val="00DC0D5E"/>
    <w:rsid w:val="00DC0ED7"/>
    <w:rsid w:val="00DC11AD"/>
    <w:rsid w:val="00DC2570"/>
    <w:rsid w:val="00DC37FF"/>
    <w:rsid w:val="00DC4B75"/>
    <w:rsid w:val="00DC5013"/>
    <w:rsid w:val="00DC56E2"/>
    <w:rsid w:val="00DC6255"/>
    <w:rsid w:val="00DC64D1"/>
    <w:rsid w:val="00DC6823"/>
    <w:rsid w:val="00DC7AA3"/>
    <w:rsid w:val="00DD010B"/>
    <w:rsid w:val="00DD03BC"/>
    <w:rsid w:val="00DD0410"/>
    <w:rsid w:val="00DD0D30"/>
    <w:rsid w:val="00DD0D4D"/>
    <w:rsid w:val="00DD0DEB"/>
    <w:rsid w:val="00DD15DE"/>
    <w:rsid w:val="00DD2A2D"/>
    <w:rsid w:val="00DD2DD8"/>
    <w:rsid w:val="00DD3B38"/>
    <w:rsid w:val="00DD515D"/>
    <w:rsid w:val="00DD5476"/>
    <w:rsid w:val="00DD5E22"/>
    <w:rsid w:val="00DD6132"/>
    <w:rsid w:val="00DD613E"/>
    <w:rsid w:val="00DD6A68"/>
    <w:rsid w:val="00DD73BD"/>
    <w:rsid w:val="00DD787D"/>
    <w:rsid w:val="00DD795C"/>
    <w:rsid w:val="00DE0011"/>
    <w:rsid w:val="00DE0355"/>
    <w:rsid w:val="00DE10F9"/>
    <w:rsid w:val="00DE1165"/>
    <w:rsid w:val="00DE1462"/>
    <w:rsid w:val="00DE1F04"/>
    <w:rsid w:val="00DE2B03"/>
    <w:rsid w:val="00DE36F8"/>
    <w:rsid w:val="00DE39B4"/>
    <w:rsid w:val="00DE4BE4"/>
    <w:rsid w:val="00DE58BF"/>
    <w:rsid w:val="00DE6722"/>
    <w:rsid w:val="00DE70C5"/>
    <w:rsid w:val="00DE730E"/>
    <w:rsid w:val="00DE7A2C"/>
    <w:rsid w:val="00DE7EE6"/>
    <w:rsid w:val="00DF029A"/>
    <w:rsid w:val="00DF05F1"/>
    <w:rsid w:val="00DF0A4C"/>
    <w:rsid w:val="00DF0DAE"/>
    <w:rsid w:val="00DF163B"/>
    <w:rsid w:val="00DF1D92"/>
    <w:rsid w:val="00DF3822"/>
    <w:rsid w:val="00DF3F59"/>
    <w:rsid w:val="00DF4075"/>
    <w:rsid w:val="00DF528A"/>
    <w:rsid w:val="00DF567A"/>
    <w:rsid w:val="00DF6994"/>
    <w:rsid w:val="00DF6CBF"/>
    <w:rsid w:val="00DF725C"/>
    <w:rsid w:val="00E00B91"/>
    <w:rsid w:val="00E01DC8"/>
    <w:rsid w:val="00E01F7C"/>
    <w:rsid w:val="00E0202C"/>
    <w:rsid w:val="00E029E3"/>
    <w:rsid w:val="00E02FC8"/>
    <w:rsid w:val="00E03FE4"/>
    <w:rsid w:val="00E041E4"/>
    <w:rsid w:val="00E049B1"/>
    <w:rsid w:val="00E04EE1"/>
    <w:rsid w:val="00E0784F"/>
    <w:rsid w:val="00E10937"/>
    <w:rsid w:val="00E11A64"/>
    <w:rsid w:val="00E123B8"/>
    <w:rsid w:val="00E124BF"/>
    <w:rsid w:val="00E12591"/>
    <w:rsid w:val="00E129DE"/>
    <w:rsid w:val="00E13556"/>
    <w:rsid w:val="00E14427"/>
    <w:rsid w:val="00E14EB3"/>
    <w:rsid w:val="00E153D0"/>
    <w:rsid w:val="00E16CD8"/>
    <w:rsid w:val="00E17B0E"/>
    <w:rsid w:val="00E17B55"/>
    <w:rsid w:val="00E2108D"/>
    <w:rsid w:val="00E22598"/>
    <w:rsid w:val="00E231DA"/>
    <w:rsid w:val="00E233DA"/>
    <w:rsid w:val="00E234A2"/>
    <w:rsid w:val="00E2421B"/>
    <w:rsid w:val="00E25076"/>
    <w:rsid w:val="00E26015"/>
    <w:rsid w:val="00E26917"/>
    <w:rsid w:val="00E307D1"/>
    <w:rsid w:val="00E30BE7"/>
    <w:rsid w:val="00E313C3"/>
    <w:rsid w:val="00E32E88"/>
    <w:rsid w:val="00E3388E"/>
    <w:rsid w:val="00E34792"/>
    <w:rsid w:val="00E34EB7"/>
    <w:rsid w:val="00E37450"/>
    <w:rsid w:val="00E37863"/>
    <w:rsid w:val="00E40EBD"/>
    <w:rsid w:val="00E41C63"/>
    <w:rsid w:val="00E42711"/>
    <w:rsid w:val="00E42AD5"/>
    <w:rsid w:val="00E44FFE"/>
    <w:rsid w:val="00E46452"/>
    <w:rsid w:val="00E5018F"/>
    <w:rsid w:val="00E504A6"/>
    <w:rsid w:val="00E5061B"/>
    <w:rsid w:val="00E50983"/>
    <w:rsid w:val="00E51CF3"/>
    <w:rsid w:val="00E5268E"/>
    <w:rsid w:val="00E528A1"/>
    <w:rsid w:val="00E53AB4"/>
    <w:rsid w:val="00E543E1"/>
    <w:rsid w:val="00E54C39"/>
    <w:rsid w:val="00E54EA6"/>
    <w:rsid w:val="00E54F93"/>
    <w:rsid w:val="00E5799C"/>
    <w:rsid w:val="00E579B9"/>
    <w:rsid w:val="00E60094"/>
    <w:rsid w:val="00E60204"/>
    <w:rsid w:val="00E603EF"/>
    <w:rsid w:val="00E60D7F"/>
    <w:rsid w:val="00E6311C"/>
    <w:rsid w:val="00E63837"/>
    <w:rsid w:val="00E63D08"/>
    <w:rsid w:val="00E65420"/>
    <w:rsid w:val="00E673C6"/>
    <w:rsid w:val="00E67A1E"/>
    <w:rsid w:val="00E70AEB"/>
    <w:rsid w:val="00E7102D"/>
    <w:rsid w:val="00E71E87"/>
    <w:rsid w:val="00E72C19"/>
    <w:rsid w:val="00E730D1"/>
    <w:rsid w:val="00E73FE4"/>
    <w:rsid w:val="00E75238"/>
    <w:rsid w:val="00E75445"/>
    <w:rsid w:val="00E7762A"/>
    <w:rsid w:val="00E77724"/>
    <w:rsid w:val="00E77E38"/>
    <w:rsid w:val="00E80AC6"/>
    <w:rsid w:val="00E80B03"/>
    <w:rsid w:val="00E81DBA"/>
    <w:rsid w:val="00E81E5D"/>
    <w:rsid w:val="00E8269D"/>
    <w:rsid w:val="00E82A95"/>
    <w:rsid w:val="00E860AB"/>
    <w:rsid w:val="00E86554"/>
    <w:rsid w:val="00E86F55"/>
    <w:rsid w:val="00E87592"/>
    <w:rsid w:val="00E87794"/>
    <w:rsid w:val="00E87A40"/>
    <w:rsid w:val="00E90FF0"/>
    <w:rsid w:val="00E9162C"/>
    <w:rsid w:val="00E917C8"/>
    <w:rsid w:val="00E91C92"/>
    <w:rsid w:val="00E91D8F"/>
    <w:rsid w:val="00E92143"/>
    <w:rsid w:val="00E9216A"/>
    <w:rsid w:val="00E934D3"/>
    <w:rsid w:val="00E93661"/>
    <w:rsid w:val="00E9425D"/>
    <w:rsid w:val="00E9514B"/>
    <w:rsid w:val="00E95CC0"/>
    <w:rsid w:val="00E95CD2"/>
    <w:rsid w:val="00E95D00"/>
    <w:rsid w:val="00E963C2"/>
    <w:rsid w:val="00E967D4"/>
    <w:rsid w:val="00E96915"/>
    <w:rsid w:val="00EA0C22"/>
    <w:rsid w:val="00EA25E4"/>
    <w:rsid w:val="00EA269D"/>
    <w:rsid w:val="00EA338F"/>
    <w:rsid w:val="00EA4468"/>
    <w:rsid w:val="00EA4B8A"/>
    <w:rsid w:val="00EA5734"/>
    <w:rsid w:val="00EA6B02"/>
    <w:rsid w:val="00EA6CEF"/>
    <w:rsid w:val="00EA7650"/>
    <w:rsid w:val="00EA7FB0"/>
    <w:rsid w:val="00EB214C"/>
    <w:rsid w:val="00EB23C3"/>
    <w:rsid w:val="00EB3301"/>
    <w:rsid w:val="00EB4454"/>
    <w:rsid w:val="00EB4579"/>
    <w:rsid w:val="00EB4675"/>
    <w:rsid w:val="00EB69AB"/>
    <w:rsid w:val="00EB7ACD"/>
    <w:rsid w:val="00EC015E"/>
    <w:rsid w:val="00EC0886"/>
    <w:rsid w:val="00EC09E0"/>
    <w:rsid w:val="00EC121F"/>
    <w:rsid w:val="00EC12A9"/>
    <w:rsid w:val="00EC1B71"/>
    <w:rsid w:val="00EC1C98"/>
    <w:rsid w:val="00EC2FA1"/>
    <w:rsid w:val="00EC31B9"/>
    <w:rsid w:val="00EC3229"/>
    <w:rsid w:val="00EC3A71"/>
    <w:rsid w:val="00EC3CF6"/>
    <w:rsid w:val="00EC400E"/>
    <w:rsid w:val="00EC4899"/>
    <w:rsid w:val="00EC4AF2"/>
    <w:rsid w:val="00EC5E4D"/>
    <w:rsid w:val="00EC6800"/>
    <w:rsid w:val="00EC6E84"/>
    <w:rsid w:val="00EC7310"/>
    <w:rsid w:val="00EC7C1A"/>
    <w:rsid w:val="00ED1A5F"/>
    <w:rsid w:val="00ED3CCB"/>
    <w:rsid w:val="00ED4241"/>
    <w:rsid w:val="00ED49AB"/>
    <w:rsid w:val="00ED500A"/>
    <w:rsid w:val="00ED58DC"/>
    <w:rsid w:val="00ED626F"/>
    <w:rsid w:val="00ED6806"/>
    <w:rsid w:val="00ED6EEB"/>
    <w:rsid w:val="00ED7483"/>
    <w:rsid w:val="00EE25F4"/>
    <w:rsid w:val="00EE2E2F"/>
    <w:rsid w:val="00EE4812"/>
    <w:rsid w:val="00EE5288"/>
    <w:rsid w:val="00EE54D6"/>
    <w:rsid w:val="00EE6A2D"/>
    <w:rsid w:val="00EE6D53"/>
    <w:rsid w:val="00EF0614"/>
    <w:rsid w:val="00EF0EF1"/>
    <w:rsid w:val="00EF1037"/>
    <w:rsid w:val="00EF1AD2"/>
    <w:rsid w:val="00EF2119"/>
    <w:rsid w:val="00EF27CE"/>
    <w:rsid w:val="00EF3289"/>
    <w:rsid w:val="00EF3990"/>
    <w:rsid w:val="00EF3AD2"/>
    <w:rsid w:val="00EF3BFC"/>
    <w:rsid w:val="00EF4914"/>
    <w:rsid w:val="00EF4B27"/>
    <w:rsid w:val="00EF5A9C"/>
    <w:rsid w:val="00EF7B35"/>
    <w:rsid w:val="00F00780"/>
    <w:rsid w:val="00F00E2D"/>
    <w:rsid w:val="00F03481"/>
    <w:rsid w:val="00F035F6"/>
    <w:rsid w:val="00F036F2"/>
    <w:rsid w:val="00F03F77"/>
    <w:rsid w:val="00F041EC"/>
    <w:rsid w:val="00F06010"/>
    <w:rsid w:val="00F066B3"/>
    <w:rsid w:val="00F070D8"/>
    <w:rsid w:val="00F07EB6"/>
    <w:rsid w:val="00F112C5"/>
    <w:rsid w:val="00F117FB"/>
    <w:rsid w:val="00F12735"/>
    <w:rsid w:val="00F14B3B"/>
    <w:rsid w:val="00F15672"/>
    <w:rsid w:val="00F156CE"/>
    <w:rsid w:val="00F15ACA"/>
    <w:rsid w:val="00F170D3"/>
    <w:rsid w:val="00F17776"/>
    <w:rsid w:val="00F2002D"/>
    <w:rsid w:val="00F20861"/>
    <w:rsid w:val="00F20A30"/>
    <w:rsid w:val="00F20F50"/>
    <w:rsid w:val="00F21263"/>
    <w:rsid w:val="00F218A3"/>
    <w:rsid w:val="00F218CC"/>
    <w:rsid w:val="00F219AF"/>
    <w:rsid w:val="00F236FB"/>
    <w:rsid w:val="00F23F8B"/>
    <w:rsid w:val="00F267BF"/>
    <w:rsid w:val="00F26E56"/>
    <w:rsid w:val="00F2741F"/>
    <w:rsid w:val="00F304FD"/>
    <w:rsid w:val="00F30521"/>
    <w:rsid w:val="00F30651"/>
    <w:rsid w:val="00F310AD"/>
    <w:rsid w:val="00F3141A"/>
    <w:rsid w:val="00F326AF"/>
    <w:rsid w:val="00F327C4"/>
    <w:rsid w:val="00F336BD"/>
    <w:rsid w:val="00F33755"/>
    <w:rsid w:val="00F33E83"/>
    <w:rsid w:val="00F346F5"/>
    <w:rsid w:val="00F359E6"/>
    <w:rsid w:val="00F35AE9"/>
    <w:rsid w:val="00F36057"/>
    <w:rsid w:val="00F36F18"/>
    <w:rsid w:val="00F373A0"/>
    <w:rsid w:val="00F40610"/>
    <w:rsid w:val="00F41EE3"/>
    <w:rsid w:val="00F426EA"/>
    <w:rsid w:val="00F4303C"/>
    <w:rsid w:val="00F43B44"/>
    <w:rsid w:val="00F43F99"/>
    <w:rsid w:val="00F440BB"/>
    <w:rsid w:val="00F44A0C"/>
    <w:rsid w:val="00F44D95"/>
    <w:rsid w:val="00F455C9"/>
    <w:rsid w:val="00F4573B"/>
    <w:rsid w:val="00F45C4B"/>
    <w:rsid w:val="00F462A0"/>
    <w:rsid w:val="00F46EE5"/>
    <w:rsid w:val="00F477DF"/>
    <w:rsid w:val="00F50625"/>
    <w:rsid w:val="00F516A8"/>
    <w:rsid w:val="00F51750"/>
    <w:rsid w:val="00F51F91"/>
    <w:rsid w:val="00F525FF"/>
    <w:rsid w:val="00F5357A"/>
    <w:rsid w:val="00F538C4"/>
    <w:rsid w:val="00F54B17"/>
    <w:rsid w:val="00F54C75"/>
    <w:rsid w:val="00F5628E"/>
    <w:rsid w:val="00F5640D"/>
    <w:rsid w:val="00F571F7"/>
    <w:rsid w:val="00F579D0"/>
    <w:rsid w:val="00F60ACF"/>
    <w:rsid w:val="00F60CEA"/>
    <w:rsid w:val="00F61C03"/>
    <w:rsid w:val="00F63AEB"/>
    <w:rsid w:val="00F658FA"/>
    <w:rsid w:val="00F65B80"/>
    <w:rsid w:val="00F65D31"/>
    <w:rsid w:val="00F665A4"/>
    <w:rsid w:val="00F6723A"/>
    <w:rsid w:val="00F67603"/>
    <w:rsid w:val="00F67F0E"/>
    <w:rsid w:val="00F70CE5"/>
    <w:rsid w:val="00F71FEA"/>
    <w:rsid w:val="00F7234A"/>
    <w:rsid w:val="00F72F49"/>
    <w:rsid w:val="00F7387B"/>
    <w:rsid w:val="00F7429C"/>
    <w:rsid w:val="00F74B48"/>
    <w:rsid w:val="00F74E2B"/>
    <w:rsid w:val="00F75615"/>
    <w:rsid w:val="00F75893"/>
    <w:rsid w:val="00F76AFA"/>
    <w:rsid w:val="00F77036"/>
    <w:rsid w:val="00F81444"/>
    <w:rsid w:val="00F81D52"/>
    <w:rsid w:val="00F831FD"/>
    <w:rsid w:val="00F83939"/>
    <w:rsid w:val="00F849A1"/>
    <w:rsid w:val="00F84C32"/>
    <w:rsid w:val="00F85537"/>
    <w:rsid w:val="00F856BC"/>
    <w:rsid w:val="00F85D3D"/>
    <w:rsid w:val="00F866FC"/>
    <w:rsid w:val="00F87811"/>
    <w:rsid w:val="00F92A81"/>
    <w:rsid w:val="00F93126"/>
    <w:rsid w:val="00F93989"/>
    <w:rsid w:val="00F93EE0"/>
    <w:rsid w:val="00F96E67"/>
    <w:rsid w:val="00F96EA5"/>
    <w:rsid w:val="00F96F56"/>
    <w:rsid w:val="00F97170"/>
    <w:rsid w:val="00FA0067"/>
    <w:rsid w:val="00FA0AF4"/>
    <w:rsid w:val="00FA0E6C"/>
    <w:rsid w:val="00FA10BD"/>
    <w:rsid w:val="00FA1DED"/>
    <w:rsid w:val="00FA2274"/>
    <w:rsid w:val="00FA37E6"/>
    <w:rsid w:val="00FA3E06"/>
    <w:rsid w:val="00FB02F3"/>
    <w:rsid w:val="00FB1133"/>
    <w:rsid w:val="00FB2435"/>
    <w:rsid w:val="00FB29FF"/>
    <w:rsid w:val="00FB3DE0"/>
    <w:rsid w:val="00FB4198"/>
    <w:rsid w:val="00FB56AA"/>
    <w:rsid w:val="00FB5BAC"/>
    <w:rsid w:val="00FB6CF1"/>
    <w:rsid w:val="00FB71F0"/>
    <w:rsid w:val="00FB7FF9"/>
    <w:rsid w:val="00FC0B9C"/>
    <w:rsid w:val="00FC1200"/>
    <w:rsid w:val="00FC12D7"/>
    <w:rsid w:val="00FC229E"/>
    <w:rsid w:val="00FC2D82"/>
    <w:rsid w:val="00FC36A5"/>
    <w:rsid w:val="00FC3CBC"/>
    <w:rsid w:val="00FC3D29"/>
    <w:rsid w:val="00FC420A"/>
    <w:rsid w:val="00FC48D2"/>
    <w:rsid w:val="00FC4DCE"/>
    <w:rsid w:val="00FC509D"/>
    <w:rsid w:val="00FC5590"/>
    <w:rsid w:val="00FC5ABA"/>
    <w:rsid w:val="00FC6B38"/>
    <w:rsid w:val="00FC6B85"/>
    <w:rsid w:val="00FD086E"/>
    <w:rsid w:val="00FD0963"/>
    <w:rsid w:val="00FD0B21"/>
    <w:rsid w:val="00FD1C18"/>
    <w:rsid w:val="00FD22BE"/>
    <w:rsid w:val="00FD31D5"/>
    <w:rsid w:val="00FD3A03"/>
    <w:rsid w:val="00FD3B70"/>
    <w:rsid w:val="00FD3EC5"/>
    <w:rsid w:val="00FD3F66"/>
    <w:rsid w:val="00FD452D"/>
    <w:rsid w:val="00FD46B5"/>
    <w:rsid w:val="00FD4A5C"/>
    <w:rsid w:val="00FD4AAB"/>
    <w:rsid w:val="00FD4CEF"/>
    <w:rsid w:val="00FD5396"/>
    <w:rsid w:val="00FD5672"/>
    <w:rsid w:val="00FD5955"/>
    <w:rsid w:val="00FD5CE3"/>
    <w:rsid w:val="00FD6566"/>
    <w:rsid w:val="00FD7A75"/>
    <w:rsid w:val="00FE0C92"/>
    <w:rsid w:val="00FE169F"/>
    <w:rsid w:val="00FE1D40"/>
    <w:rsid w:val="00FE274D"/>
    <w:rsid w:val="00FE4422"/>
    <w:rsid w:val="00FE4495"/>
    <w:rsid w:val="00FE4CFD"/>
    <w:rsid w:val="00FE5AAD"/>
    <w:rsid w:val="00FE64ED"/>
    <w:rsid w:val="00FE69D6"/>
    <w:rsid w:val="00FE7AEC"/>
    <w:rsid w:val="00FF3283"/>
    <w:rsid w:val="00FF3B98"/>
    <w:rsid w:val="00FF3BE8"/>
    <w:rsid w:val="00FF3C0C"/>
    <w:rsid w:val="00FF5134"/>
    <w:rsid w:val="00FF574D"/>
    <w:rsid w:val="00FF6C85"/>
    <w:rsid w:val="00FF74E6"/>
    <w:rsid w:val="01023135"/>
    <w:rsid w:val="011F2A9E"/>
    <w:rsid w:val="01217C14"/>
    <w:rsid w:val="012C092E"/>
    <w:rsid w:val="01306E08"/>
    <w:rsid w:val="0188069F"/>
    <w:rsid w:val="01904473"/>
    <w:rsid w:val="01923C58"/>
    <w:rsid w:val="01987C72"/>
    <w:rsid w:val="01A00AB6"/>
    <w:rsid w:val="01B542EC"/>
    <w:rsid w:val="01C81734"/>
    <w:rsid w:val="01E33B08"/>
    <w:rsid w:val="01F4382F"/>
    <w:rsid w:val="01FA7ED1"/>
    <w:rsid w:val="01FE43F4"/>
    <w:rsid w:val="02056C1F"/>
    <w:rsid w:val="0208276A"/>
    <w:rsid w:val="021A159E"/>
    <w:rsid w:val="023D6514"/>
    <w:rsid w:val="024027A2"/>
    <w:rsid w:val="025203D7"/>
    <w:rsid w:val="02525250"/>
    <w:rsid w:val="025D44AD"/>
    <w:rsid w:val="026B2F38"/>
    <w:rsid w:val="02940E80"/>
    <w:rsid w:val="0296741E"/>
    <w:rsid w:val="029B2607"/>
    <w:rsid w:val="02CB27AF"/>
    <w:rsid w:val="02D74513"/>
    <w:rsid w:val="02EC6F3F"/>
    <w:rsid w:val="03213A48"/>
    <w:rsid w:val="0325647B"/>
    <w:rsid w:val="03282661"/>
    <w:rsid w:val="03291116"/>
    <w:rsid w:val="033303E9"/>
    <w:rsid w:val="033876DF"/>
    <w:rsid w:val="03531F3B"/>
    <w:rsid w:val="03651F5C"/>
    <w:rsid w:val="037232C1"/>
    <w:rsid w:val="038B6F91"/>
    <w:rsid w:val="03AC77CE"/>
    <w:rsid w:val="03BB78A7"/>
    <w:rsid w:val="03CD5570"/>
    <w:rsid w:val="03D44D7B"/>
    <w:rsid w:val="045E1009"/>
    <w:rsid w:val="046B4165"/>
    <w:rsid w:val="047217E8"/>
    <w:rsid w:val="047375FF"/>
    <w:rsid w:val="04B64FED"/>
    <w:rsid w:val="04EB333C"/>
    <w:rsid w:val="050E006D"/>
    <w:rsid w:val="052F6202"/>
    <w:rsid w:val="05366E21"/>
    <w:rsid w:val="05367154"/>
    <w:rsid w:val="056B2336"/>
    <w:rsid w:val="056C3618"/>
    <w:rsid w:val="056C79E5"/>
    <w:rsid w:val="05773772"/>
    <w:rsid w:val="058F036C"/>
    <w:rsid w:val="05BE6B51"/>
    <w:rsid w:val="05C045C0"/>
    <w:rsid w:val="05DA034D"/>
    <w:rsid w:val="05E27F52"/>
    <w:rsid w:val="05E65887"/>
    <w:rsid w:val="061E364E"/>
    <w:rsid w:val="063879EF"/>
    <w:rsid w:val="063E58BA"/>
    <w:rsid w:val="063F2E80"/>
    <w:rsid w:val="06640DCE"/>
    <w:rsid w:val="06AC38B5"/>
    <w:rsid w:val="06B04068"/>
    <w:rsid w:val="06B96DC0"/>
    <w:rsid w:val="06D97D43"/>
    <w:rsid w:val="06E232F1"/>
    <w:rsid w:val="06F2506F"/>
    <w:rsid w:val="070A6138"/>
    <w:rsid w:val="071E3B3D"/>
    <w:rsid w:val="071E700E"/>
    <w:rsid w:val="07542DEB"/>
    <w:rsid w:val="07836EF0"/>
    <w:rsid w:val="078918BE"/>
    <w:rsid w:val="07A50E82"/>
    <w:rsid w:val="07B07DFE"/>
    <w:rsid w:val="07B904F1"/>
    <w:rsid w:val="07C72B29"/>
    <w:rsid w:val="07C77823"/>
    <w:rsid w:val="07CB0014"/>
    <w:rsid w:val="07CC3931"/>
    <w:rsid w:val="07D479D6"/>
    <w:rsid w:val="07EE74D6"/>
    <w:rsid w:val="07F55B0C"/>
    <w:rsid w:val="08061A64"/>
    <w:rsid w:val="081F63AB"/>
    <w:rsid w:val="0877046C"/>
    <w:rsid w:val="087B26BC"/>
    <w:rsid w:val="088C3420"/>
    <w:rsid w:val="088F147C"/>
    <w:rsid w:val="089368B2"/>
    <w:rsid w:val="08A7115C"/>
    <w:rsid w:val="08AE50A2"/>
    <w:rsid w:val="08BD7CA2"/>
    <w:rsid w:val="08E71DFC"/>
    <w:rsid w:val="08EB149F"/>
    <w:rsid w:val="091041C0"/>
    <w:rsid w:val="092A1184"/>
    <w:rsid w:val="095552B9"/>
    <w:rsid w:val="095F301E"/>
    <w:rsid w:val="09EA6329"/>
    <w:rsid w:val="09F804E6"/>
    <w:rsid w:val="0A1209FF"/>
    <w:rsid w:val="0A133C0A"/>
    <w:rsid w:val="0A2A62B0"/>
    <w:rsid w:val="0A2E37E3"/>
    <w:rsid w:val="0A321A1F"/>
    <w:rsid w:val="0A581C73"/>
    <w:rsid w:val="0A7F445E"/>
    <w:rsid w:val="0A817E5C"/>
    <w:rsid w:val="0A8C12FD"/>
    <w:rsid w:val="0A913AAC"/>
    <w:rsid w:val="0AA208AD"/>
    <w:rsid w:val="0AA968DF"/>
    <w:rsid w:val="0ABB762F"/>
    <w:rsid w:val="0ACD70EF"/>
    <w:rsid w:val="0AE27F27"/>
    <w:rsid w:val="0AE6710B"/>
    <w:rsid w:val="0AE67E18"/>
    <w:rsid w:val="0AE81301"/>
    <w:rsid w:val="0AEC1A8F"/>
    <w:rsid w:val="0AEC3047"/>
    <w:rsid w:val="0B026B69"/>
    <w:rsid w:val="0B566CD8"/>
    <w:rsid w:val="0B5E2F4D"/>
    <w:rsid w:val="0B92505E"/>
    <w:rsid w:val="0B932453"/>
    <w:rsid w:val="0BB02A33"/>
    <w:rsid w:val="0BB931B4"/>
    <w:rsid w:val="0BCD49B6"/>
    <w:rsid w:val="0BF60F30"/>
    <w:rsid w:val="0BFB16F0"/>
    <w:rsid w:val="0BFF1A5A"/>
    <w:rsid w:val="0C094DD3"/>
    <w:rsid w:val="0C0E19A3"/>
    <w:rsid w:val="0C3236CA"/>
    <w:rsid w:val="0C341268"/>
    <w:rsid w:val="0C4563A2"/>
    <w:rsid w:val="0C644C44"/>
    <w:rsid w:val="0C750BCD"/>
    <w:rsid w:val="0C905427"/>
    <w:rsid w:val="0C957679"/>
    <w:rsid w:val="0CA70467"/>
    <w:rsid w:val="0CBF58BC"/>
    <w:rsid w:val="0CCC2233"/>
    <w:rsid w:val="0D167C85"/>
    <w:rsid w:val="0D201239"/>
    <w:rsid w:val="0D5479CF"/>
    <w:rsid w:val="0D8F6CEC"/>
    <w:rsid w:val="0D9332B1"/>
    <w:rsid w:val="0DA828D3"/>
    <w:rsid w:val="0DC33810"/>
    <w:rsid w:val="0DC4344A"/>
    <w:rsid w:val="0DF14A2B"/>
    <w:rsid w:val="0DF4753D"/>
    <w:rsid w:val="0DF67E00"/>
    <w:rsid w:val="0E222C26"/>
    <w:rsid w:val="0E2E5153"/>
    <w:rsid w:val="0E41344F"/>
    <w:rsid w:val="0E477A2A"/>
    <w:rsid w:val="0E4D662C"/>
    <w:rsid w:val="0E4E0815"/>
    <w:rsid w:val="0E600236"/>
    <w:rsid w:val="0E614869"/>
    <w:rsid w:val="0E70772A"/>
    <w:rsid w:val="0E821084"/>
    <w:rsid w:val="0E88059D"/>
    <w:rsid w:val="0E920EEA"/>
    <w:rsid w:val="0EC955BC"/>
    <w:rsid w:val="0EF424C2"/>
    <w:rsid w:val="0F073BFF"/>
    <w:rsid w:val="0F2130DE"/>
    <w:rsid w:val="0F2F6727"/>
    <w:rsid w:val="0F321374"/>
    <w:rsid w:val="0F5B5F0C"/>
    <w:rsid w:val="0F6761C8"/>
    <w:rsid w:val="0F693358"/>
    <w:rsid w:val="0F6D346C"/>
    <w:rsid w:val="0F6F4695"/>
    <w:rsid w:val="0F751A4B"/>
    <w:rsid w:val="0F7A640E"/>
    <w:rsid w:val="0F8163B9"/>
    <w:rsid w:val="0F8269C9"/>
    <w:rsid w:val="0F855411"/>
    <w:rsid w:val="0F9175B2"/>
    <w:rsid w:val="0F9438CF"/>
    <w:rsid w:val="0FA82E82"/>
    <w:rsid w:val="0FB65D62"/>
    <w:rsid w:val="0FC0017E"/>
    <w:rsid w:val="0FD0519B"/>
    <w:rsid w:val="0FEE1159"/>
    <w:rsid w:val="0FF30054"/>
    <w:rsid w:val="0FFA38C4"/>
    <w:rsid w:val="10042917"/>
    <w:rsid w:val="101A47BC"/>
    <w:rsid w:val="102C4D57"/>
    <w:rsid w:val="10354DB8"/>
    <w:rsid w:val="10415426"/>
    <w:rsid w:val="104F402A"/>
    <w:rsid w:val="10714E7F"/>
    <w:rsid w:val="10716764"/>
    <w:rsid w:val="10734619"/>
    <w:rsid w:val="10816D35"/>
    <w:rsid w:val="10916C1C"/>
    <w:rsid w:val="10B247EB"/>
    <w:rsid w:val="10B6785C"/>
    <w:rsid w:val="10B842BD"/>
    <w:rsid w:val="10D13BA4"/>
    <w:rsid w:val="10DF4477"/>
    <w:rsid w:val="10E452FC"/>
    <w:rsid w:val="10F32DAB"/>
    <w:rsid w:val="10F577EB"/>
    <w:rsid w:val="1138254B"/>
    <w:rsid w:val="113C36F3"/>
    <w:rsid w:val="11743B6D"/>
    <w:rsid w:val="11800086"/>
    <w:rsid w:val="11C06C92"/>
    <w:rsid w:val="11C5659C"/>
    <w:rsid w:val="11E132E7"/>
    <w:rsid w:val="11F13860"/>
    <w:rsid w:val="12002149"/>
    <w:rsid w:val="121B1114"/>
    <w:rsid w:val="122342B1"/>
    <w:rsid w:val="12462070"/>
    <w:rsid w:val="124C259A"/>
    <w:rsid w:val="124C30AE"/>
    <w:rsid w:val="124E3895"/>
    <w:rsid w:val="124E7FFF"/>
    <w:rsid w:val="1253655D"/>
    <w:rsid w:val="12782761"/>
    <w:rsid w:val="1281697B"/>
    <w:rsid w:val="12892338"/>
    <w:rsid w:val="129910D0"/>
    <w:rsid w:val="12E86250"/>
    <w:rsid w:val="13013A18"/>
    <w:rsid w:val="130616FA"/>
    <w:rsid w:val="13285E1C"/>
    <w:rsid w:val="1343426E"/>
    <w:rsid w:val="134409A8"/>
    <w:rsid w:val="13706CA8"/>
    <w:rsid w:val="13716052"/>
    <w:rsid w:val="13891069"/>
    <w:rsid w:val="139A162B"/>
    <w:rsid w:val="13D92F61"/>
    <w:rsid w:val="13E04016"/>
    <w:rsid w:val="13E7293C"/>
    <w:rsid w:val="13FC5B48"/>
    <w:rsid w:val="14065A99"/>
    <w:rsid w:val="14186F64"/>
    <w:rsid w:val="14202DCF"/>
    <w:rsid w:val="14306EA7"/>
    <w:rsid w:val="1467577F"/>
    <w:rsid w:val="14847CE0"/>
    <w:rsid w:val="14AC7F65"/>
    <w:rsid w:val="14AF254B"/>
    <w:rsid w:val="14C8554E"/>
    <w:rsid w:val="14D43EAB"/>
    <w:rsid w:val="14DF3112"/>
    <w:rsid w:val="14F53C67"/>
    <w:rsid w:val="14FB56C6"/>
    <w:rsid w:val="156F0E87"/>
    <w:rsid w:val="15821E3D"/>
    <w:rsid w:val="15B360F1"/>
    <w:rsid w:val="15C35B4F"/>
    <w:rsid w:val="15CF0793"/>
    <w:rsid w:val="15D01F1C"/>
    <w:rsid w:val="15E864F7"/>
    <w:rsid w:val="15EE6FEC"/>
    <w:rsid w:val="16062241"/>
    <w:rsid w:val="16236453"/>
    <w:rsid w:val="16241BDA"/>
    <w:rsid w:val="163928B6"/>
    <w:rsid w:val="166A1279"/>
    <w:rsid w:val="167A552D"/>
    <w:rsid w:val="16A64657"/>
    <w:rsid w:val="16AE5B65"/>
    <w:rsid w:val="16B8134E"/>
    <w:rsid w:val="16D10C89"/>
    <w:rsid w:val="16E16CED"/>
    <w:rsid w:val="16E30ADA"/>
    <w:rsid w:val="16E87082"/>
    <w:rsid w:val="17033295"/>
    <w:rsid w:val="17166949"/>
    <w:rsid w:val="17191057"/>
    <w:rsid w:val="172E5F79"/>
    <w:rsid w:val="173E7E76"/>
    <w:rsid w:val="17457596"/>
    <w:rsid w:val="174A6AC7"/>
    <w:rsid w:val="17552F88"/>
    <w:rsid w:val="17AC477D"/>
    <w:rsid w:val="17CB17C9"/>
    <w:rsid w:val="17CE7C6B"/>
    <w:rsid w:val="17EE4359"/>
    <w:rsid w:val="17F57EA2"/>
    <w:rsid w:val="18255639"/>
    <w:rsid w:val="185E3521"/>
    <w:rsid w:val="18831461"/>
    <w:rsid w:val="189F021E"/>
    <w:rsid w:val="18A22E22"/>
    <w:rsid w:val="18A475E1"/>
    <w:rsid w:val="18B12670"/>
    <w:rsid w:val="18BB54EF"/>
    <w:rsid w:val="18C90FB4"/>
    <w:rsid w:val="18D6197E"/>
    <w:rsid w:val="18F274D0"/>
    <w:rsid w:val="18F71B3C"/>
    <w:rsid w:val="18FD18C8"/>
    <w:rsid w:val="19265A17"/>
    <w:rsid w:val="1939332D"/>
    <w:rsid w:val="19754FEC"/>
    <w:rsid w:val="19883A28"/>
    <w:rsid w:val="198A14D1"/>
    <w:rsid w:val="1997356C"/>
    <w:rsid w:val="199F732D"/>
    <w:rsid w:val="19A03DAA"/>
    <w:rsid w:val="19A51F5A"/>
    <w:rsid w:val="19CF1661"/>
    <w:rsid w:val="19D05F80"/>
    <w:rsid w:val="19D10BC3"/>
    <w:rsid w:val="1A09218E"/>
    <w:rsid w:val="1A5870D7"/>
    <w:rsid w:val="1A6E6506"/>
    <w:rsid w:val="1A80526A"/>
    <w:rsid w:val="1AA7368C"/>
    <w:rsid w:val="1AC706CA"/>
    <w:rsid w:val="1AD01A09"/>
    <w:rsid w:val="1AD1331E"/>
    <w:rsid w:val="1AE05442"/>
    <w:rsid w:val="1AEE3EA6"/>
    <w:rsid w:val="1AEF45A7"/>
    <w:rsid w:val="1B174D68"/>
    <w:rsid w:val="1B250BDA"/>
    <w:rsid w:val="1B485AFB"/>
    <w:rsid w:val="1B4B0B5F"/>
    <w:rsid w:val="1B4D69C8"/>
    <w:rsid w:val="1B6151A2"/>
    <w:rsid w:val="1B6D69CE"/>
    <w:rsid w:val="1B71676B"/>
    <w:rsid w:val="1B873C28"/>
    <w:rsid w:val="1B9E560F"/>
    <w:rsid w:val="1BBA7F4A"/>
    <w:rsid w:val="1BE059E3"/>
    <w:rsid w:val="1BE309E5"/>
    <w:rsid w:val="1C190828"/>
    <w:rsid w:val="1C191CB7"/>
    <w:rsid w:val="1C1F124A"/>
    <w:rsid w:val="1C4860FD"/>
    <w:rsid w:val="1C4A5197"/>
    <w:rsid w:val="1C4E5633"/>
    <w:rsid w:val="1C5B496F"/>
    <w:rsid w:val="1C8B3CA6"/>
    <w:rsid w:val="1CB22C8C"/>
    <w:rsid w:val="1CCA1019"/>
    <w:rsid w:val="1CE56EB0"/>
    <w:rsid w:val="1CE662AB"/>
    <w:rsid w:val="1CF549C8"/>
    <w:rsid w:val="1D046FA4"/>
    <w:rsid w:val="1D263E85"/>
    <w:rsid w:val="1D2C576D"/>
    <w:rsid w:val="1D512F3F"/>
    <w:rsid w:val="1D524561"/>
    <w:rsid w:val="1D6463D4"/>
    <w:rsid w:val="1D713164"/>
    <w:rsid w:val="1D73295C"/>
    <w:rsid w:val="1D774AB0"/>
    <w:rsid w:val="1D901D22"/>
    <w:rsid w:val="1D9411D5"/>
    <w:rsid w:val="1DA04652"/>
    <w:rsid w:val="1DAA3985"/>
    <w:rsid w:val="1DB67713"/>
    <w:rsid w:val="1DE16CFD"/>
    <w:rsid w:val="1E0D6921"/>
    <w:rsid w:val="1E4018F8"/>
    <w:rsid w:val="1E6F55CD"/>
    <w:rsid w:val="1E8F52D1"/>
    <w:rsid w:val="1E95542B"/>
    <w:rsid w:val="1EB7447A"/>
    <w:rsid w:val="1EC42000"/>
    <w:rsid w:val="1EC826A8"/>
    <w:rsid w:val="1EE90B04"/>
    <w:rsid w:val="1EFB530F"/>
    <w:rsid w:val="1F1947A2"/>
    <w:rsid w:val="1F224672"/>
    <w:rsid w:val="1F305ACB"/>
    <w:rsid w:val="1F5769D2"/>
    <w:rsid w:val="1F64790E"/>
    <w:rsid w:val="1F86022B"/>
    <w:rsid w:val="1F8E364C"/>
    <w:rsid w:val="1FA05153"/>
    <w:rsid w:val="1FAC2A56"/>
    <w:rsid w:val="1FBF7279"/>
    <w:rsid w:val="1FC134F3"/>
    <w:rsid w:val="1FCA3B5D"/>
    <w:rsid w:val="1FD04A8A"/>
    <w:rsid w:val="1FE735A6"/>
    <w:rsid w:val="1FEB3A75"/>
    <w:rsid w:val="20286C41"/>
    <w:rsid w:val="202F51D7"/>
    <w:rsid w:val="20326932"/>
    <w:rsid w:val="20393C61"/>
    <w:rsid w:val="204342D9"/>
    <w:rsid w:val="20460D23"/>
    <w:rsid w:val="20582FFD"/>
    <w:rsid w:val="205C0B1C"/>
    <w:rsid w:val="20713AFB"/>
    <w:rsid w:val="207D1A5A"/>
    <w:rsid w:val="2085485E"/>
    <w:rsid w:val="208C5940"/>
    <w:rsid w:val="20B10B35"/>
    <w:rsid w:val="20BE5C10"/>
    <w:rsid w:val="20D55F6A"/>
    <w:rsid w:val="20DA1726"/>
    <w:rsid w:val="20E47201"/>
    <w:rsid w:val="210533F9"/>
    <w:rsid w:val="210B09B5"/>
    <w:rsid w:val="211A4497"/>
    <w:rsid w:val="21350927"/>
    <w:rsid w:val="21392B6F"/>
    <w:rsid w:val="213F0BCD"/>
    <w:rsid w:val="215C344F"/>
    <w:rsid w:val="217D6AC7"/>
    <w:rsid w:val="21817E02"/>
    <w:rsid w:val="2187728E"/>
    <w:rsid w:val="218D6F8F"/>
    <w:rsid w:val="21A138D4"/>
    <w:rsid w:val="21A13F95"/>
    <w:rsid w:val="21BF243F"/>
    <w:rsid w:val="21D84217"/>
    <w:rsid w:val="21EB0046"/>
    <w:rsid w:val="21F57BF6"/>
    <w:rsid w:val="223A35D9"/>
    <w:rsid w:val="223E2D10"/>
    <w:rsid w:val="22456FBA"/>
    <w:rsid w:val="225E1311"/>
    <w:rsid w:val="2260129F"/>
    <w:rsid w:val="22602485"/>
    <w:rsid w:val="228C46FA"/>
    <w:rsid w:val="22BB5ED9"/>
    <w:rsid w:val="22CB53F7"/>
    <w:rsid w:val="22D17BE2"/>
    <w:rsid w:val="22D21D6E"/>
    <w:rsid w:val="22DA0CA0"/>
    <w:rsid w:val="22DC596D"/>
    <w:rsid w:val="22E857AF"/>
    <w:rsid w:val="22EA03EB"/>
    <w:rsid w:val="22FB5C3C"/>
    <w:rsid w:val="23121110"/>
    <w:rsid w:val="231A2AD3"/>
    <w:rsid w:val="231E51E5"/>
    <w:rsid w:val="23282444"/>
    <w:rsid w:val="23406EF4"/>
    <w:rsid w:val="234313B2"/>
    <w:rsid w:val="234C3A2F"/>
    <w:rsid w:val="236551A0"/>
    <w:rsid w:val="23675539"/>
    <w:rsid w:val="23694E9F"/>
    <w:rsid w:val="23CF1E3C"/>
    <w:rsid w:val="23E76663"/>
    <w:rsid w:val="23F86266"/>
    <w:rsid w:val="24042DA8"/>
    <w:rsid w:val="24305683"/>
    <w:rsid w:val="24667AE8"/>
    <w:rsid w:val="24707310"/>
    <w:rsid w:val="248373F3"/>
    <w:rsid w:val="24A1666D"/>
    <w:rsid w:val="24AD6DB8"/>
    <w:rsid w:val="24BD01C4"/>
    <w:rsid w:val="24CD283E"/>
    <w:rsid w:val="24E10B85"/>
    <w:rsid w:val="24E62411"/>
    <w:rsid w:val="24F0106A"/>
    <w:rsid w:val="25000C24"/>
    <w:rsid w:val="25035BFC"/>
    <w:rsid w:val="254705AD"/>
    <w:rsid w:val="254E741C"/>
    <w:rsid w:val="255566DD"/>
    <w:rsid w:val="25747E4F"/>
    <w:rsid w:val="25A621CF"/>
    <w:rsid w:val="25B00DC9"/>
    <w:rsid w:val="25B16E79"/>
    <w:rsid w:val="25F00881"/>
    <w:rsid w:val="26003D4C"/>
    <w:rsid w:val="260A2940"/>
    <w:rsid w:val="260C1795"/>
    <w:rsid w:val="262E681B"/>
    <w:rsid w:val="265339E3"/>
    <w:rsid w:val="2663263B"/>
    <w:rsid w:val="26A55C8A"/>
    <w:rsid w:val="26AB7710"/>
    <w:rsid w:val="26C47EFB"/>
    <w:rsid w:val="26E66A40"/>
    <w:rsid w:val="26FB30E7"/>
    <w:rsid w:val="271741B6"/>
    <w:rsid w:val="273130DF"/>
    <w:rsid w:val="27373B77"/>
    <w:rsid w:val="274176A0"/>
    <w:rsid w:val="27484CE9"/>
    <w:rsid w:val="274F4667"/>
    <w:rsid w:val="275019E1"/>
    <w:rsid w:val="27543E3A"/>
    <w:rsid w:val="27777E79"/>
    <w:rsid w:val="278800CE"/>
    <w:rsid w:val="278D4B2C"/>
    <w:rsid w:val="27A407A4"/>
    <w:rsid w:val="27B33130"/>
    <w:rsid w:val="27F14114"/>
    <w:rsid w:val="27F2455A"/>
    <w:rsid w:val="280934CA"/>
    <w:rsid w:val="280F7DDC"/>
    <w:rsid w:val="28127EF7"/>
    <w:rsid w:val="28412469"/>
    <w:rsid w:val="286A39C9"/>
    <w:rsid w:val="287C5D24"/>
    <w:rsid w:val="28835A55"/>
    <w:rsid w:val="288D0468"/>
    <w:rsid w:val="289E75CB"/>
    <w:rsid w:val="28B705C2"/>
    <w:rsid w:val="28C3391E"/>
    <w:rsid w:val="28CE48E8"/>
    <w:rsid w:val="28E021FB"/>
    <w:rsid w:val="28EA43E3"/>
    <w:rsid w:val="291235F3"/>
    <w:rsid w:val="29250133"/>
    <w:rsid w:val="29255313"/>
    <w:rsid w:val="294559E0"/>
    <w:rsid w:val="294737B2"/>
    <w:rsid w:val="294B2AF7"/>
    <w:rsid w:val="2977519A"/>
    <w:rsid w:val="29A677D7"/>
    <w:rsid w:val="29C22697"/>
    <w:rsid w:val="29E178A0"/>
    <w:rsid w:val="2A086C82"/>
    <w:rsid w:val="2A0F5255"/>
    <w:rsid w:val="2A1A0D54"/>
    <w:rsid w:val="2A22113D"/>
    <w:rsid w:val="2A287941"/>
    <w:rsid w:val="2A4D27F0"/>
    <w:rsid w:val="2A5E1C4C"/>
    <w:rsid w:val="2A676FDA"/>
    <w:rsid w:val="2A737A2F"/>
    <w:rsid w:val="2A937A0C"/>
    <w:rsid w:val="2ABF1B15"/>
    <w:rsid w:val="2AD85731"/>
    <w:rsid w:val="2ADD37E3"/>
    <w:rsid w:val="2AF141EB"/>
    <w:rsid w:val="2AF85906"/>
    <w:rsid w:val="2B035EB6"/>
    <w:rsid w:val="2B292D2E"/>
    <w:rsid w:val="2B513320"/>
    <w:rsid w:val="2BAE58C8"/>
    <w:rsid w:val="2BBE6BDB"/>
    <w:rsid w:val="2BEB2D18"/>
    <w:rsid w:val="2BFA3BBF"/>
    <w:rsid w:val="2BFE401A"/>
    <w:rsid w:val="2C061C08"/>
    <w:rsid w:val="2C1C6D63"/>
    <w:rsid w:val="2C3A19E0"/>
    <w:rsid w:val="2C4536E6"/>
    <w:rsid w:val="2C4935E1"/>
    <w:rsid w:val="2C522D7B"/>
    <w:rsid w:val="2C726AB8"/>
    <w:rsid w:val="2C8D37C1"/>
    <w:rsid w:val="2C9458AE"/>
    <w:rsid w:val="2CA907EF"/>
    <w:rsid w:val="2CB223C1"/>
    <w:rsid w:val="2CB654CC"/>
    <w:rsid w:val="2CC96A70"/>
    <w:rsid w:val="2CE40AF9"/>
    <w:rsid w:val="2CEA39C4"/>
    <w:rsid w:val="2CEF1EAF"/>
    <w:rsid w:val="2CF04C56"/>
    <w:rsid w:val="2CF3245E"/>
    <w:rsid w:val="2D0370DD"/>
    <w:rsid w:val="2D1E370C"/>
    <w:rsid w:val="2D3872DF"/>
    <w:rsid w:val="2D46793D"/>
    <w:rsid w:val="2D5D07A1"/>
    <w:rsid w:val="2D6101AE"/>
    <w:rsid w:val="2D71776C"/>
    <w:rsid w:val="2D7C7B7A"/>
    <w:rsid w:val="2D801431"/>
    <w:rsid w:val="2D935F88"/>
    <w:rsid w:val="2D981A70"/>
    <w:rsid w:val="2DA1449E"/>
    <w:rsid w:val="2DA15DB0"/>
    <w:rsid w:val="2DAA65BE"/>
    <w:rsid w:val="2DC31F60"/>
    <w:rsid w:val="2DCF180E"/>
    <w:rsid w:val="2DD54996"/>
    <w:rsid w:val="2DD8291E"/>
    <w:rsid w:val="2DEE6340"/>
    <w:rsid w:val="2DF606B2"/>
    <w:rsid w:val="2E095387"/>
    <w:rsid w:val="2E132554"/>
    <w:rsid w:val="2E290BB6"/>
    <w:rsid w:val="2E515765"/>
    <w:rsid w:val="2E60489B"/>
    <w:rsid w:val="2E7C24A8"/>
    <w:rsid w:val="2E8E6317"/>
    <w:rsid w:val="2E97645C"/>
    <w:rsid w:val="2E992206"/>
    <w:rsid w:val="2EA56D90"/>
    <w:rsid w:val="2EBA145D"/>
    <w:rsid w:val="2EBA681E"/>
    <w:rsid w:val="2ECD3150"/>
    <w:rsid w:val="2ED1011D"/>
    <w:rsid w:val="2ED9417C"/>
    <w:rsid w:val="2EDA3D3E"/>
    <w:rsid w:val="2EFA78A8"/>
    <w:rsid w:val="2F005138"/>
    <w:rsid w:val="2F0D1CC0"/>
    <w:rsid w:val="2F1B55DD"/>
    <w:rsid w:val="2F272E6C"/>
    <w:rsid w:val="2F296881"/>
    <w:rsid w:val="2F3B4A5F"/>
    <w:rsid w:val="2F63380D"/>
    <w:rsid w:val="2FA0788B"/>
    <w:rsid w:val="2FAC69C0"/>
    <w:rsid w:val="2FBB5987"/>
    <w:rsid w:val="2FF23861"/>
    <w:rsid w:val="30334D91"/>
    <w:rsid w:val="303D6ACA"/>
    <w:rsid w:val="304453CF"/>
    <w:rsid w:val="305A2960"/>
    <w:rsid w:val="30656876"/>
    <w:rsid w:val="3089135A"/>
    <w:rsid w:val="309C3839"/>
    <w:rsid w:val="30A21149"/>
    <w:rsid w:val="30A24421"/>
    <w:rsid w:val="30C10F37"/>
    <w:rsid w:val="30C926E9"/>
    <w:rsid w:val="30E402B8"/>
    <w:rsid w:val="30EF698A"/>
    <w:rsid w:val="31000F82"/>
    <w:rsid w:val="31077167"/>
    <w:rsid w:val="311F76C9"/>
    <w:rsid w:val="314070E4"/>
    <w:rsid w:val="316118AF"/>
    <w:rsid w:val="317A4E2A"/>
    <w:rsid w:val="317C735D"/>
    <w:rsid w:val="317F6D7A"/>
    <w:rsid w:val="31CF3B86"/>
    <w:rsid w:val="31E4292C"/>
    <w:rsid w:val="31F25251"/>
    <w:rsid w:val="321046CF"/>
    <w:rsid w:val="32571A68"/>
    <w:rsid w:val="328D04FA"/>
    <w:rsid w:val="329F683F"/>
    <w:rsid w:val="32A25038"/>
    <w:rsid w:val="32C7373E"/>
    <w:rsid w:val="32CC2398"/>
    <w:rsid w:val="32D45A86"/>
    <w:rsid w:val="32D80EA1"/>
    <w:rsid w:val="32DC618B"/>
    <w:rsid w:val="32FC3DD2"/>
    <w:rsid w:val="32FD086E"/>
    <w:rsid w:val="333767EA"/>
    <w:rsid w:val="334A0266"/>
    <w:rsid w:val="334E6A88"/>
    <w:rsid w:val="33547AA9"/>
    <w:rsid w:val="336D70E4"/>
    <w:rsid w:val="336E6EB4"/>
    <w:rsid w:val="33736118"/>
    <w:rsid w:val="338F1396"/>
    <w:rsid w:val="33A83BFC"/>
    <w:rsid w:val="33A9586D"/>
    <w:rsid w:val="33AA38CE"/>
    <w:rsid w:val="33BD652C"/>
    <w:rsid w:val="33C11BD6"/>
    <w:rsid w:val="33F87766"/>
    <w:rsid w:val="34015754"/>
    <w:rsid w:val="341133F3"/>
    <w:rsid w:val="341A2EDD"/>
    <w:rsid w:val="34296547"/>
    <w:rsid w:val="34391099"/>
    <w:rsid w:val="34666702"/>
    <w:rsid w:val="34693223"/>
    <w:rsid w:val="348035AB"/>
    <w:rsid w:val="34875AE0"/>
    <w:rsid w:val="34901232"/>
    <w:rsid w:val="34952E08"/>
    <w:rsid w:val="34AA46BB"/>
    <w:rsid w:val="34AF5000"/>
    <w:rsid w:val="34B53346"/>
    <w:rsid w:val="34B65A88"/>
    <w:rsid w:val="34BF69A7"/>
    <w:rsid w:val="34C00779"/>
    <w:rsid w:val="34D07658"/>
    <w:rsid w:val="34EB3A5F"/>
    <w:rsid w:val="35112E84"/>
    <w:rsid w:val="351F5441"/>
    <w:rsid w:val="352B4885"/>
    <w:rsid w:val="352E235B"/>
    <w:rsid w:val="353748D7"/>
    <w:rsid w:val="354E698A"/>
    <w:rsid w:val="358515A1"/>
    <w:rsid w:val="358E7918"/>
    <w:rsid w:val="359A420F"/>
    <w:rsid w:val="359C412D"/>
    <w:rsid w:val="35A85D6D"/>
    <w:rsid w:val="35BE57C6"/>
    <w:rsid w:val="35D520AF"/>
    <w:rsid w:val="35E53185"/>
    <w:rsid w:val="36176361"/>
    <w:rsid w:val="3628019B"/>
    <w:rsid w:val="36504E6D"/>
    <w:rsid w:val="369A7E5E"/>
    <w:rsid w:val="36BC2250"/>
    <w:rsid w:val="36C52511"/>
    <w:rsid w:val="36E14DCB"/>
    <w:rsid w:val="36FB4AB8"/>
    <w:rsid w:val="371D5A26"/>
    <w:rsid w:val="37327D5A"/>
    <w:rsid w:val="374C2147"/>
    <w:rsid w:val="374D65B8"/>
    <w:rsid w:val="3760471E"/>
    <w:rsid w:val="37611A9E"/>
    <w:rsid w:val="376A536F"/>
    <w:rsid w:val="37771279"/>
    <w:rsid w:val="378C3206"/>
    <w:rsid w:val="379E045E"/>
    <w:rsid w:val="37A204FF"/>
    <w:rsid w:val="37B023F5"/>
    <w:rsid w:val="37C22657"/>
    <w:rsid w:val="37C4259A"/>
    <w:rsid w:val="37C57D3E"/>
    <w:rsid w:val="37D30FBE"/>
    <w:rsid w:val="37DE4E36"/>
    <w:rsid w:val="37EE52E9"/>
    <w:rsid w:val="37F42E7A"/>
    <w:rsid w:val="37FD7E80"/>
    <w:rsid w:val="38086BBF"/>
    <w:rsid w:val="381676EB"/>
    <w:rsid w:val="381B7087"/>
    <w:rsid w:val="3823684F"/>
    <w:rsid w:val="382B7C9D"/>
    <w:rsid w:val="38302C93"/>
    <w:rsid w:val="383668A3"/>
    <w:rsid w:val="3865733E"/>
    <w:rsid w:val="387D1CC0"/>
    <w:rsid w:val="38885910"/>
    <w:rsid w:val="38A7049D"/>
    <w:rsid w:val="38AB7053"/>
    <w:rsid w:val="38B0119F"/>
    <w:rsid w:val="38CD3145"/>
    <w:rsid w:val="38D97E6B"/>
    <w:rsid w:val="39212610"/>
    <w:rsid w:val="396E4918"/>
    <w:rsid w:val="397E505F"/>
    <w:rsid w:val="399C623F"/>
    <w:rsid w:val="39A42E14"/>
    <w:rsid w:val="39EC28C8"/>
    <w:rsid w:val="39FC7122"/>
    <w:rsid w:val="3A3C4825"/>
    <w:rsid w:val="3A3D583B"/>
    <w:rsid w:val="3A3D616C"/>
    <w:rsid w:val="3A515D1C"/>
    <w:rsid w:val="3A603C99"/>
    <w:rsid w:val="3A7A09EF"/>
    <w:rsid w:val="3A8E456A"/>
    <w:rsid w:val="3A990FDB"/>
    <w:rsid w:val="3AAC2E0F"/>
    <w:rsid w:val="3AAE28D5"/>
    <w:rsid w:val="3ABF5C32"/>
    <w:rsid w:val="3AC90D6C"/>
    <w:rsid w:val="3AC95712"/>
    <w:rsid w:val="3ACD150A"/>
    <w:rsid w:val="3AE565BA"/>
    <w:rsid w:val="3AF835F2"/>
    <w:rsid w:val="3B1404C6"/>
    <w:rsid w:val="3B1C2B3A"/>
    <w:rsid w:val="3B2A3D77"/>
    <w:rsid w:val="3B2F234A"/>
    <w:rsid w:val="3B3026E6"/>
    <w:rsid w:val="3B3141D9"/>
    <w:rsid w:val="3B3F492F"/>
    <w:rsid w:val="3B580C12"/>
    <w:rsid w:val="3B762213"/>
    <w:rsid w:val="3B8445A3"/>
    <w:rsid w:val="3B8C1170"/>
    <w:rsid w:val="3B9D1B01"/>
    <w:rsid w:val="3BA6693D"/>
    <w:rsid w:val="3BFF1213"/>
    <w:rsid w:val="3C136311"/>
    <w:rsid w:val="3C1B7F81"/>
    <w:rsid w:val="3C324515"/>
    <w:rsid w:val="3C6C55EE"/>
    <w:rsid w:val="3C942A46"/>
    <w:rsid w:val="3CA37BE5"/>
    <w:rsid w:val="3CAC36B7"/>
    <w:rsid w:val="3CB00350"/>
    <w:rsid w:val="3CDF6472"/>
    <w:rsid w:val="3CE039C7"/>
    <w:rsid w:val="3D131757"/>
    <w:rsid w:val="3D3F4822"/>
    <w:rsid w:val="3D6C7F3C"/>
    <w:rsid w:val="3D7F1C81"/>
    <w:rsid w:val="3D8720E3"/>
    <w:rsid w:val="3D9037A9"/>
    <w:rsid w:val="3D912C67"/>
    <w:rsid w:val="3DA878B6"/>
    <w:rsid w:val="3DB346C8"/>
    <w:rsid w:val="3DBE5E9B"/>
    <w:rsid w:val="3DBE7745"/>
    <w:rsid w:val="3DF455BE"/>
    <w:rsid w:val="3E0223A9"/>
    <w:rsid w:val="3E08213A"/>
    <w:rsid w:val="3E1338D8"/>
    <w:rsid w:val="3E28621E"/>
    <w:rsid w:val="3E3C26C7"/>
    <w:rsid w:val="3E6471E8"/>
    <w:rsid w:val="3E7106EB"/>
    <w:rsid w:val="3E8850FB"/>
    <w:rsid w:val="3E8E5D41"/>
    <w:rsid w:val="3EAB4FD2"/>
    <w:rsid w:val="3ED76DA5"/>
    <w:rsid w:val="3EEC5348"/>
    <w:rsid w:val="3EFB1649"/>
    <w:rsid w:val="3F056B2F"/>
    <w:rsid w:val="3F14632E"/>
    <w:rsid w:val="3F1D3A72"/>
    <w:rsid w:val="3F413EF5"/>
    <w:rsid w:val="3F517F8E"/>
    <w:rsid w:val="3F81172C"/>
    <w:rsid w:val="3F8C2E80"/>
    <w:rsid w:val="3F8D7DD1"/>
    <w:rsid w:val="3F921C02"/>
    <w:rsid w:val="3FB66CBF"/>
    <w:rsid w:val="3FDA1AA7"/>
    <w:rsid w:val="3FDF3E05"/>
    <w:rsid w:val="40076B18"/>
    <w:rsid w:val="40127131"/>
    <w:rsid w:val="40170274"/>
    <w:rsid w:val="402103C4"/>
    <w:rsid w:val="403527B4"/>
    <w:rsid w:val="405B4032"/>
    <w:rsid w:val="40650531"/>
    <w:rsid w:val="406A3691"/>
    <w:rsid w:val="40765F10"/>
    <w:rsid w:val="40835FC9"/>
    <w:rsid w:val="409B775D"/>
    <w:rsid w:val="40A300DC"/>
    <w:rsid w:val="40D36F7B"/>
    <w:rsid w:val="40EC3B9F"/>
    <w:rsid w:val="40FC5FBD"/>
    <w:rsid w:val="4111533E"/>
    <w:rsid w:val="412465D8"/>
    <w:rsid w:val="41292CB7"/>
    <w:rsid w:val="41424CCB"/>
    <w:rsid w:val="41560836"/>
    <w:rsid w:val="417B7037"/>
    <w:rsid w:val="417E0879"/>
    <w:rsid w:val="41817CAB"/>
    <w:rsid w:val="418D1CB0"/>
    <w:rsid w:val="419B291A"/>
    <w:rsid w:val="419B6EB1"/>
    <w:rsid w:val="41B11A52"/>
    <w:rsid w:val="41C63916"/>
    <w:rsid w:val="41D17DA9"/>
    <w:rsid w:val="41DB0084"/>
    <w:rsid w:val="41E966D9"/>
    <w:rsid w:val="41F60E4E"/>
    <w:rsid w:val="41F82ED3"/>
    <w:rsid w:val="42074460"/>
    <w:rsid w:val="42074865"/>
    <w:rsid w:val="42100646"/>
    <w:rsid w:val="421B506B"/>
    <w:rsid w:val="42210FD3"/>
    <w:rsid w:val="42437560"/>
    <w:rsid w:val="42B7021B"/>
    <w:rsid w:val="42C90E50"/>
    <w:rsid w:val="42DA2ED5"/>
    <w:rsid w:val="42E04719"/>
    <w:rsid w:val="42E62A0D"/>
    <w:rsid w:val="42EF271B"/>
    <w:rsid w:val="433E7BDE"/>
    <w:rsid w:val="43470E0E"/>
    <w:rsid w:val="434877E1"/>
    <w:rsid w:val="435C0894"/>
    <w:rsid w:val="4375779C"/>
    <w:rsid w:val="43941BC2"/>
    <w:rsid w:val="43B42496"/>
    <w:rsid w:val="43B55DD0"/>
    <w:rsid w:val="43BA490B"/>
    <w:rsid w:val="43D11D98"/>
    <w:rsid w:val="43E34D6E"/>
    <w:rsid w:val="44146DCC"/>
    <w:rsid w:val="441F3660"/>
    <w:rsid w:val="44234337"/>
    <w:rsid w:val="44336A14"/>
    <w:rsid w:val="44513A6E"/>
    <w:rsid w:val="44736751"/>
    <w:rsid w:val="44771A92"/>
    <w:rsid w:val="447736AE"/>
    <w:rsid w:val="447B03F2"/>
    <w:rsid w:val="44B148A0"/>
    <w:rsid w:val="44D134C8"/>
    <w:rsid w:val="44FE25D5"/>
    <w:rsid w:val="45201238"/>
    <w:rsid w:val="453D7DB5"/>
    <w:rsid w:val="45522CDB"/>
    <w:rsid w:val="457741BD"/>
    <w:rsid w:val="45866081"/>
    <w:rsid w:val="45A33EF5"/>
    <w:rsid w:val="45BA1C2B"/>
    <w:rsid w:val="45C05790"/>
    <w:rsid w:val="45C51C64"/>
    <w:rsid w:val="45C773F3"/>
    <w:rsid w:val="45D50D07"/>
    <w:rsid w:val="45ED4C35"/>
    <w:rsid w:val="460B1169"/>
    <w:rsid w:val="46152EA3"/>
    <w:rsid w:val="462B5826"/>
    <w:rsid w:val="463017FC"/>
    <w:rsid w:val="464F6724"/>
    <w:rsid w:val="468A2403"/>
    <w:rsid w:val="46A0493F"/>
    <w:rsid w:val="46BF08F0"/>
    <w:rsid w:val="46CC5278"/>
    <w:rsid w:val="46DF219E"/>
    <w:rsid w:val="46E90836"/>
    <w:rsid w:val="473C2850"/>
    <w:rsid w:val="47547CC4"/>
    <w:rsid w:val="47574117"/>
    <w:rsid w:val="47596154"/>
    <w:rsid w:val="476571A9"/>
    <w:rsid w:val="47923F31"/>
    <w:rsid w:val="47956A8D"/>
    <w:rsid w:val="47C54B5E"/>
    <w:rsid w:val="47E33776"/>
    <w:rsid w:val="48157F7C"/>
    <w:rsid w:val="481770A4"/>
    <w:rsid w:val="48190305"/>
    <w:rsid w:val="482F15B9"/>
    <w:rsid w:val="484B11F9"/>
    <w:rsid w:val="484F6397"/>
    <w:rsid w:val="48571057"/>
    <w:rsid w:val="48933E31"/>
    <w:rsid w:val="489C0973"/>
    <w:rsid w:val="48B921C2"/>
    <w:rsid w:val="48C979D9"/>
    <w:rsid w:val="48EA4A56"/>
    <w:rsid w:val="48FA0A87"/>
    <w:rsid w:val="48FB7B0F"/>
    <w:rsid w:val="493E3961"/>
    <w:rsid w:val="49552F1B"/>
    <w:rsid w:val="49600BBB"/>
    <w:rsid w:val="49757606"/>
    <w:rsid w:val="49767A3E"/>
    <w:rsid w:val="497C6B8D"/>
    <w:rsid w:val="499E53F6"/>
    <w:rsid w:val="49AB2CA0"/>
    <w:rsid w:val="49B86C4F"/>
    <w:rsid w:val="49C939B9"/>
    <w:rsid w:val="49E337D8"/>
    <w:rsid w:val="49E44BF4"/>
    <w:rsid w:val="49FA129C"/>
    <w:rsid w:val="49FF64AB"/>
    <w:rsid w:val="4A0D3CE8"/>
    <w:rsid w:val="4A0E5316"/>
    <w:rsid w:val="4A210F74"/>
    <w:rsid w:val="4A23184B"/>
    <w:rsid w:val="4A2A6C30"/>
    <w:rsid w:val="4A2E4B82"/>
    <w:rsid w:val="4A3025D1"/>
    <w:rsid w:val="4A350327"/>
    <w:rsid w:val="4A3F2E78"/>
    <w:rsid w:val="4A5A6C6B"/>
    <w:rsid w:val="4A63167B"/>
    <w:rsid w:val="4A703E6F"/>
    <w:rsid w:val="4A7E57A7"/>
    <w:rsid w:val="4A9C28D4"/>
    <w:rsid w:val="4AA82C83"/>
    <w:rsid w:val="4B0E7F84"/>
    <w:rsid w:val="4B0F6A50"/>
    <w:rsid w:val="4B115A90"/>
    <w:rsid w:val="4B3046D0"/>
    <w:rsid w:val="4B5E23DF"/>
    <w:rsid w:val="4B651954"/>
    <w:rsid w:val="4B65201E"/>
    <w:rsid w:val="4B6F4687"/>
    <w:rsid w:val="4B7C2BD1"/>
    <w:rsid w:val="4BA43A79"/>
    <w:rsid w:val="4BB2053C"/>
    <w:rsid w:val="4BE3221C"/>
    <w:rsid w:val="4C1F3271"/>
    <w:rsid w:val="4C2D4D35"/>
    <w:rsid w:val="4C4D4899"/>
    <w:rsid w:val="4C4D5248"/>
    <w:rsid w:val="4C570A37"/>
    <w:rsid w:val="4C5D1865"/>
    <w:rsid w:val="4C805E49"/>
    <w:rsid w:val="4C916268"/>
    <w:rsid w:val="4CA23D6D"/>
    <w:rsid w:val="4CA60CFA"/>
    <w:rsid w:val="4CB566A0"/>
    <w:rsid w:val="4CB66FC7"/>
    <w:rsid w:val="4CC51605"/>
    <w:rsid w:val="4CCA5E13"/>
    <w:rsid w:val="4CCF738E"/>
    <w:rsid w:val="4CD11100"/>
    <w:rsid w:val="4CED66BE"/>
    <w:rsid w:val="4CF4324A"/>
    <w:rsid w:val="4CF43FBE"/>
    <w:rsid w:val="4CFD63D4"/>
    <w:rsid w:val="4D28735C"/>
    <w:rsid w:val="4D557BFB"/>
    <w:rsid w:val="4D5872A6"/>
    <w:rsid w:val="4D5E67A8"/>
    <w:rsid w:val="4D7D34C1"/>
    <w:rsid w:val="4D8047F5"/>
    <w:rsid w:val="4D9151E5"/>
    <w:rsid w:val="4DAA6207"/>
    <w:rsid w:val="4DB20676"/>
    <w:rsid w:val="4DC949C2"/>
    <w:rsid w:val="4DF75B59"/>
    <w:rsid w:val="4DF9274A"/>
    <w:rsid w:val="4DFD3601"/>
    <w:rsid w:val="4E3838F9"/>
    <w:rsid w:val="4E3864D4"/>
    <w:rsid w:val="4E3B6FE5"/>
    <w:rsid w:val="4E470A57"/>
    <w:rsid w:val="4E6B0017"/>
    <w:rsid w:val="4EA853A6"/>
    <w:rsid w:val="4EAD73C4"/>
    <w:rsid w:val="4EC14CF1"/>
    <w:rsid w:val="4F237BD2"/>
    <w:rsid w:val="4F2A57B8"/>
    <w:rsid w:val="4F2E16ED"/>
    <w:rsid w:val="4F30666F"/>
    <w:rsid w:val="4F45243F"/>
    <w:rsid w:val="4F4569EC"/>
    <w:rsid w:val="4F4A02C3"/>
    <w:rsid w:val="4F6A2A0B"/>
    <w:rsid w:val="4F775D6F"/>
    <w:rsid w:val="4F7B3F1F"/>
    <w:rsid w:val="4F917295"/>
    <w:rsid w:val="4F9816CA"/>
    <w:rsid w:val="4F9C6242"/>
    <w:rsid w:val="4FAD7D1A"/>
    <w:rsid w:val="4FD07995"/>
    <w:rsid w:val="4FD416E3"/>
    <w:rsid w:val="4FE84852"/>
    <w:rsid w:val="4FED0469"/>
    <w:rsid w:val="50293838"/>
    <w:rsid w:val="504B3F05"/>
    <w:rsid w:val="504D5C7D"/>
    <w:rsid w:val="50845C80"/>
    <w:rsid w:val="509038E0"/>
    <w:rsid w:val="50945865"/>
    <w:rsid w:val="50A36AE0"/>
    <w:rsid w:val="50A87AB3"/>
    <w:rsid w:val="50E357C1"/>
    <w:rsid w:val="50EB7041"/>
    <w:rsid w:val="50EB72E3"/>
    <w:rsid w:val="51041B0F"/>
    <w:rsid w:val="512F26B5"/>
    <w:rsid w:val="512F60B9"/>
    <w:rsid w:val="51351FF0"/>
    <w:rsid w:val="514851BD"/>
    <w:rsid w:val="514B4018"/>
    <w:rsid w:val="51521B70"/>
    <w:rsid w:val="51683314"/>
    <w:rsid w:val="516A11BE"/>
    <w:rsid w:val="516B62D4"/>
    <w:rsid w:val="51A1601B"/>
    <w:rsid w:val="51AB1E44"/>
    <w:rsid w:val="51B24ED4"/>
    <w:rsid w:val="51C27DF3"/>
    <w:rsid w:val="52260804"/>
    <w:rsid w:val="52317A9B"/>
    <w:rsid w:val="52573343"/>
    <w:rsid w:val="525B18BB"/>
    <w:rsid w:val="525C4590"/>
    <w:rsid w:val="525E4303"/>
    <w:rsid w:val="5273540C"/>
    <w:rsid w:val="52A809D4"/>
    <w:rsid w:val="52AD2762"/>
    <w:rsid w:val="52B608A2"/>
    <w:rsid w:val="52BD0FC0"/>
    <w:rsid w:val="52CB1D26"/>
    <w:rsid w:val="52E253FF"/>
    <w:rsid w:val="52EB33A2"/>
    <w:rsid w:val="530555EB"/>
    <w:rsid w:val="53072286"/>
    <w:rsid w:val="5331364E"/>
    <w:rsid w:val="53370A89"/>
    <w:rsid w:val="537A4EBA"/>
    <w:rsid w:val="53860151"/>
    <w:rsid w:val="539562DD"/>
    <w:rsid w:val="53A37C7D"/>
    <w:rsid w:val="53B13A54"/>
    <w:rsid w:val="53B404D2"/>
    <w:rsid w:val="53E10B74"/>
    <w:rsid w:val="53FC7DC9"/>
    <w:rsid w:val="54232A3D"/>
    <w:rsid w:val="543E1DA1"/>
    <w:rsid w:val="54453657"/>
    <w:rsid w:val="545F1CD6"/>
    <w:rsid w:val="54656E74"/>
    <w:rsid w:val="547A5A34"/>
    <w:rsid w:val="547E0A90"/>
    <w:rsid w:val="5499415A"/>
    <w:rsid w:val="549B6196"/>
    <w:rsid w:val="54B75C7A"/>
    <w:rsid w:val="54BA0288"/>
    <w:rsid w:val="54BD3CE2"/>
    <w:rsid w:val="54C032BE"/>
    <w:rsid w:val="54C45DFC"/>
    <w:rsid w:val="54E56A83"/>
    <w:rsid w:val="54EE7F85"/>
    <w:rsid w:val="55167C88"/>
    <w:rsid w:val="555B3B1D"/>
    <w:rsid w:val="55707C0A"/>
    <w:rsid w:val="55746CE3"/>
    <w:rsid w:val="55750835"/>
    <w:rsid w:val="55814CCE"/>
    <w:rsid w:val="55873B6D"/>
    <w:rsid w:val="55897DBF"/>
    <w:rsid w:val="55C82F73"/>
    <w:rsid w:val="55D60CB7"/>
    <w:rsid w:val="55EE473B"/>
    <w:rsid w:val="56072226"/>
    <w:rsid w:val="561761EC"/>
    <w:rsid w:val="561D419C"/>
    <w:rsid w:val="56221D18"/>
    <w:rsid w:val="562C7F95"/>
    <w:rsid w:val="56377A75"/>
    <w:rsid w:val="56627510"/>
    <w:rsid w:val="56724FA3"/>
    <w:rsid w:val="568C0A8E"/>
    <w:rsid w:val="569739FD"/>
    <w:rsid w:val="56DA7CBA"/>
    <w:rsid w:val="56E54085"/>
    <w:rsid w:val="56ED1801"/>
    <w:rsid w:val="56EE7BA0"/>
    <w:rsid w:val="570A2780"/>
    <w:rsid w:val="570E3D9A"/>
    <w:rsid w:val="573650AC"/>
    <w:rsid w:val="573A6987"/>
    <w:rsid w:val="57500581"/>
    <w:rsid w:val="577A3BE1"/>
    <w:rsid w:val="57853F40"/>
    <w:rsid w:val="57931A18"/>
    <w:rsid w:val="579F05BF"/>
    <w:rsid w:val="57B0617A"/>
    <w:rsid w:val="57BA7514"/>
    <w:rsid w:val="57D82114"/>
    <w:rsid w:val="57DB7449"/>
    <w:rsid w:val="57E20968"/>
    <w:rsid w:val="58044668"/>
    <w:rsid w:val="580A795D"/>
    <w:rsid w:val="58243CA5"/>
    <w:rsid w:val="582E18E2"/>
    <w:rsid w:val="58381A8C"/>
    <w:rsid w:val="586657B9"/>
    <w:rsid w:val="588E3960"/>
    <w:rsid w:val="58996ED1"/>
    <w:rsid w:val="589D1EB9"/>
    <w:rsid w:val="58C448FC"/>
    <w:rsid w:val="58D57672"/>
    <w:rsid w:val="58F845EA"/>
    <w:rsid w:val="591E029D"/>
    <w:rsid w:val="591F25BC"/>
    <w:rsid w:val="592C780A"/>
    <w:rsid w:val="59697B9A"/>
    <w:rsid w:val="597E66B1"/>
    <w:rsid w:val="59835158"/>
    <w:rsid w:val="5992073B"/>
    <w:rsid w:val="599E4166"/>
    <w:rsid w:val="599F6B1F"/>
    <w:rsid w:val="59A57CC8"/>
    <w:rsid w:val="59B56EF2"/>
    <w:rsid w:val="59C803A3"/>
    <w:rsid w:val="59F265AF"/>
    <w:rsid w:val="5A1B518D"/>
    <w:rsid w:val="5A1F3DB2"/>
    <w:rsid w:val="5A3E1F6F"/>
    <w:rsid w:val="5A43658F"/>
    <w:rsid w:val="5A5703EF"/>
    <w:rsid w:val="5A59008D"/>
    <w:rsid w:val="5A5D658B"/>
    <w:rsid w:val="5A6051E6"/>
    <w:rsid w:val="5A617DD6"/>
    <w:rsid w:val="5A6A40B5"/>
    <w:rsid w:val="5A88088D"/>
    <w:rsid w:val="5A8964BA"/>
    <w:rsid w:val="5ADD1D31"/>
    <w:rsid w:val="5AE069D7"/>
    <w:rsid w:val="5AE20715"/>
    <w:rsid w:val="5B161333"/>
    <w:rsid w:val="5B2372DD"/>
    <w:rsid w:val="5B390916"/>
    <w:rsid w:val="5B4F51B5"/>
    <w:rsid w:val="5B652F33"/>
    <w:rsid w:val="5B755646"/>
    <w:rsid w:val="5B940E96"/>
    <w:rsid w:val="5B9B7837"/>
    <w:rsid w:val="5BBF7A5E"/>
    <w:rsid w:val="5BE65065"/>
    <w:rsid w:val="5C025A7F"/>
    <w:rsid w:val="5C084F20"/>
    <w:rsid w:val="5C24449C"/>
    <w:rsid w:val="5C61557C"/>
    <w:rsid w:val="5C6414E4"/>
    <w:rsid w:val="5C652546"/>
    <w:rsid w:val="5C79628F"/>
    <w:rsid w:val="5C80476D"/>
    <w:rsid w:val="5C91411C"/>
    <w:rsid w:val="5C9B7A45"/>
    <w:rsid w:val="5CAA66D9"/>
    <w:rsid w:val="5CC03AA5"/>
    <w:rsid w:val="5CDC5F13"/>
    <w:rsid w:val="5CE2076F"/>
    <w:rsid w:val="5CE22F2D"/>
    <w:rsid w:val="5CF27699"/>
    <w:rsid w:val="5CF325F0"/>
    <w:rsid w:val="5D18235F"/>
    <w:rsid w:val="5D316534"/>
    <w:rsid w:val="5D3C061E"/>
    <w:rsid w:val="5D3C1689"/>
    <w:rsid w:val="5D4815D5"/>
    <w:rsid w:val="5D711845"/>
    <w:rsid w:val="5D8A22F2"/>
    <w:rsid w:val="5D8F4DED"/>
    <w:rsid w:val="5D946D99"/>
    <w:rsid w:val="5D982498"/>
    <w:rsid w:val="5DA97114"/>
    <w:rsid w:val="5DAA7CAC"/>
    <w:rsid w:val="5DAD3319"/>
    <w:rsid w:val="5DAF19ED"/>
    <w:rsid w:val="5DE30CFD"/>
    <w:rsid w:val="5DF474B3"/>
    <w:rsid w:val="5E3C3BB6"/>
    <w:rsid w:val="5E664307"/>
    <w:rsid w:val="5E746B14"/>
    <w:rsid w:val="5E7B62C9"/>
    <w:rsid w:val="5E922A91"/>
    <w:rsid w:val="5E957797"/>
    <w:rsid w:val="5EB25D06"/>
    <w:rsid w:val="5EBD06F5"/>
    <w:rsid w:val="5ED13E95"/>
    <w:rsid w:val="5EF66758"/>
    <w:rsid w:val="5EF739CB"/>
    <w:rsid w:val="5EF85D00"/>
    <w:rsid w:val="5EFD5AFB"/>
    <w:rsid w:val="5F0F7C3F"/>
    <w:rsid w:val="5F1D1D29"/>
    <w:rsid w:val="5F2874F3"/>
    <w:rsid w:val="5F29345E"/>
    <w:rsid w:val="5F435978"/>
    <w:rsid w:val="5F513494"/>
    <w:rsid w:val="5F937784"/>
    <w:rsid w:val="5FA22F75"/>
    <w:rsid w:val="5FA2626A"/>
    <w:rsid w:val="5FA8483D"/>
    <w:rsid w:val="5FB6191D"/>
    <w:rsid w:val="5FB7676F"/>
    <w:rsid w:val="5FD42743"/>
    <w:rsid w:val="5FFF0747"/>
    <w:rsid w:val="60090ECA"/>
    <w:rsid w:val="600B2DF1"/>
    <w:rsid w:val="60443E2A"/>
    <w:rsid w:val="604D1FAF"/>
    <w:rsid w:val="60726F46"/>
    <w:rsid w:val="607C7DEE"/>
    <w:rsid w:val="608D239B"/>
    <w:rsid w:val="60A251B8"/>
    <w:rsid w:val="60A4722F"/>
    <w:rsid w:val="60BC12F0"/>
    <w:rsid w:val="60CA74D7"/>
    <w:rsid w:val="612979B7"/>
    <w:rsid w:val="614C6931"/>
    <w:rsid w:val="615E370D"/>
    <w:rsid w:val="61662303"/>
    <w:rsid w:val="617120CB"/>
    <w:rsid w:val="617C43B4"/>
    <w:rsid w:val="618331A1"/>
    <w:rsid w:val="61901099"/>
    <w:rsid w:val="61A4446B"/>
    <w:rsid w:val="61A5527F"/>
    <w:rsid w:val="61B00E23"/>
    <w:rsid w:val="61D1163D"/>
    <w:rsid w:val="61E1620E"/>
    <w:rsid w:val="61F34B28"/>
    <w:rsid w:val="61F50585"/>
    <w:rsid w:val="620B0634"/>
    <w:rsid w:val="620B4BAC"/>
    <w:rsid w:val="622D491D"/>
    <w:rsid w:val="626B5D82"/>
    <w:rsid w:val="62C02A9E"/>
    <w:rsid w:val="62C93427"/>
    <w:rsid w:val="62CE3232"/>
    <w:rsid w:val="62DB31B0"/>
    <w:rsid w:val="62ED092A"/>
    <w:rsid w:val="62EF5C17"/>
    <w:rsid w:val="6300476C"/>
    <w:rsid w:val="63103C70"/>
    <w:rsid w:val="63106AFB"/>
    <w:rsid w:val="632A1812"/>
    <w:rsid w:val="63475F61"/>
    <w:rsid w:val="637B7D7A"/>
    <w:rsid w:val="638925F4"/>
    <w:rsid w:val="638B10E9"/>
    <w:rsid w:val="639010A8"/>
    <w:rsid w:val="63964969"/>
    <w:rsid w:val="63BD0748"/>
    <w:rsid w:val="63BD6E87"/>
    <w:rsid w:val="63C8381C"/>
    <w:rsid w:val="63CD319C"/>
    <w:rsid w:val="63EE653C"/>
    <w:rsid w:val="64512361"/>
    <w:rsid w:val="64723AD7"/>
    <w:rsid w:val="647A6CE9"/>
    <w:rsid w:val="648220FE"/>
    <w:rsid w:val="649868BF"/>
    <w:rsid w:val="649A1CF3"/>
    <w:rsid w:val="64D570B0"/>
    <w:rsid w:val="64D941BE"/>
    <w:rsid w:val="64E778C7"/>
    <w:rsid w:val="64EA36F7"/>
    <w:rsid w:val="64F918C4"/>
    <w:rsid w:val="64FA2288"/>
    <w:rsid w:val="652774FD"/>
    <w:rsid w:val="653852F0"/>
    <w:rsid w:val="653C0152"/>
    <w:rsid w:val="655450BD"/>
    <w:rsid w:val="65590D4B"/>
    <w:rsid w:val="65A44107"/>
    <w:rsid w:val="65AE2314"/>
    <w:rsid w:val="65FF45C0"/>
    <w:rsid w:val="66057EF0"/>
    <w:rsid w:val="660F6E2B"/>
    <w:rsid w:val="66160707"/>
    <w:rsid w:val="66167B22"/>
    <w:rsid w:val="662338E9"/>
    <w:rsid w:val="664878A5"/>
    <w:rsid w:val="66553C01"/>
    <w:rsid w:val="66600CA3"/>
    <w:rsid w:val="66811DFB"/>
    <w:rsid w:val="669B38A7"/>
    <w:rsid w:val="66BE3DB4"/>
    <w:rsid w:val="66F2336C"/>
    <w:rsid w:val="66F31712"/>
    <w:rsid w:val="66FE2DEF"/>
    <w:rsid w:val="67053AE1"/>
    <w:rsid w:val="6724797A"/>
    <w:rsid w:val="672F3242"/>
    <w:rsid w:val="67637B4B"/>
    <w:rsid w:val="676B7D36"/>
    <w:rsid w:val="6786010E"/>
    <w:rsid w:val="67A809AF"/>
    <w:rsid w:val="67BD20A8"/>
    <w:rsid w:val="67C75D19"/>
    <w:rsid w:val="67D12312"/>
    <w:rsid w:val="67F42E3B"/>
    <w:rsid w:val="681E3896"/>
    <w:rsid w:val="68210A68"/>
    <w:rsid w:val="68324B2C"/>
    <w:rsid w:val="68477613"/>
    <w:rsid w:val="684E7BC0"/>
    <w:rsid w:val="685B7B82"/>
    <w:rsid w:val="686710D2"/>
    <w:rsid w:val="68741DC9"/>
    <w:rsid w:val="68780367"/>
    <w:rsid w:val="68792B01"/>
    <w:rsid w:val="688D1CD4"/>
    <w:rsid w:val="688D5441"/>
    <w:rsid w:val="688E702D"/>
    <w:rsid w:val="68936EBC"/>
    <w:rsid w:val="68A21EF2"/>
    <w:rsid w:val="68A655EA"/>
    <w:rsid w:val="68A719BF"/>
    <w:rsid w:val="68AC010F"/>
    <w:rsid w:val="68D52065"/>
    <w:rsid w:val="68E16C3B"/>
    <w:rsid w:val="68E20053"/>
    <w:rsid w:val="68EA4BAF"/>
    <w:rsid w:val="69100895"/>
    <w:rsid w:val="692E4572"/>
    <w:rsid w:val="693E055C"/>
    <w:rsid w:val="6954299A"/>
    <w:rsid w:val="696D5EBD"/>
    <w:rsid w:val="696F36B5"/>
    <w:rsid w:val="697A7E36"/>
    <w:rsid w:val="698C0CE8"/>
    <w:rsid w:val="698C3E8C"/>
    <w:rsid w:val="69A376C8"/>
    <w:rsid w:val="69BD3A14"/>
    <w:rsid w:val="69D554E3"/>
    <w:rsid w:val="69F30A3C"/>
    <w:rsid w:val="6A054DD6"/>
    <w:rsid w:val="6A673049"/>
    <w:rsid w:val="6A78701E"/>
    <w:rsid w:val="6AB4536D"/>
    <w:rsid w:val="6AB85264"/>
    <w:rsid w:val="6AEA022D"/>
    <w:rsid w:val="6AEC4BBC"/>
    <w:rsid w:val="6AEF5B9E"/>
    <w:rsid w:val="6B04071F"/>
    <w:rsid w:val="6B233331"/>
    <w:rsid w:val="6B777AB2"/>
    <w:rsid w:val="6B971FB5"/>
    <w:rsid w:val="6B994CB3"/>
    <w:rsid w:val="6B9F60F9"/>
    <w:rsid w:val="6BA009CB"/>
    <w:rsid w:val="6BC37D57"/>
    <w:rsid w:val="6BFF356B"/>
    <w:rsid w:val="6C187419"/>
    <w:rsid w:val="6C2711AC"/>
    <w:rsid w:val="6C310743"/>
    <w:rsid w:val="6CA2151A"/>
    <w:rsid w:val="6CB44F48"/>
    <w:rsid w:val="6CCA24FF"/>
    <w:rsid w:val="6CD80F2C"/>
    <w:rsid w:val="6CE249E3"/>
    <w:rsid w:val="6CF1596B"/>
    <w:rsid w:val="6D0E1977"/>
    <w:rsid w:val="6D1770BB"/>
    <w:rsid w:val="6D1F48D5"/>
    <w:rsid w:val="6D2516B5"/>
    <w:rsid w:val="6D27592A"/>
    <w:rsid w:val="6D3D4FC1"/>
    <w:rsid w:val="6D40177C"/>
    <w:rsid w:val="6D404C7F"/>
    <w:rsid w:val="6D523E13"/>
    <w:rsid w:val="6D627C38"/>
    <w:rsid w:val="6D882F6A"/>
    <w:rsid w:val="6D971653"/>
    <w:rsid w:val="6DAB7597"/>
    <w:rsid w:val="6DAD7A71"/>
    <w:rsid w:val="6DBF3314"/>
    <w:rsid w:val="6E0E1D35"/>
    <w:rsid w:val="6E360CC7"/>
    <w:rsid w:val="6E6E00D4"/>
    <w:rsid w:val="6E8E5039"/>
    <w:rsid w:val="6EA234C1"/>
    <w:rsid w:val="6ED453CA"/>
    <w:rsid w:val="6ED7292C"/>
    <w:rsid w:val="6EDF6477"/>
    <w:rsid w:val="6F081260"/>
    <w:rsid w:val="6F1105E1"/>
    <w:rsid w:val="6F180CB6"/>
    <w:rsid w:val="6F2D384E"/>
    <w:rsid w:val="6F3635A1"/>
    <w:rsid w:val="6F396376"/>
    <w:rsid w:val="6F435062"/>
    <w:rsid w:val="6F5766C0"/>
    <w:rsid w:val="6F7F0ADC"/>
    <w:rsid w:val="6F841F2A"/>
    <w:rsid w:val="6F8C1F24"/>
    <w:rsid w:val="6F960BCF"/>
    <w:rsid w:val="6FB8405D"/>
    <w:rsid w:val="6FBA3A95"/>
    <w:rsid w:val="6FC03DAF"/>
    <w:rsid w:val="6FFB5D02"/>
    <w:rsid w:val="70614F03"/>
    <w:rsid w:val="70857C53"/>
    <w:rsid w:val="708C49A8"/>
    <w:rsid w:val="70917E2C"/>
    <w:rsid w:val="709864A1"/>
    <w:rsid w:val="70C627CA"/>
    <w:rsid w:val="70CA18BB"/>
    <w:rsid w:val="70D743CD"/>
    <w:rsid w:val="710258A2"/>
    <w:rsid w:val="710F60DA"/>
    <w:rsid w:val="71257908"/>
    <w:rsid w:val="712D275F"/>
    <w:rsid w:val="7136255D"/>
    <w:rsid w:val="713A5C5C"/>
    <w:rsid w:val="7140437C"/>
    <w:rsid w:val="71592A8A"/>
    <w:rsid w:val="719129A9"/>
    <w:rsid w:val="719974F6"/>
    <w:rsid w:val="71CB2A4F"/>
    <w:rsid w:val="71E6419F"/>
    <w:rsid w:val="72221CCD"/>
    <w:rsid w:val="722414D1"/>
    <w:rsid w:val="724B18B1"/>
    <w:rsid w:val="726411AC"/>
    <w:rsid w:val="72693624"/>
    <w:rsid w:val="729703AF"/>
    <w:rsid w:val="729D6EEA"/>
    <w:rsid w:val="72A63C5C"/>
    <w:rsid w:val="72AE0C28"/>
    <w:rsid w:val="72EA21AF"/>
    <w:rsid w:val="73295783"/>
    <w:rsid w:val="73336C8B"/>
    <w:rsid w:val="734213E7"/>
    <w:rsid w:val="73484B0D"/>
    <w:rsid w:val="735D3A3D"/>
    <w:rsid w:val="736B6125"/>
    <w:rsid w:val="737E5840"/>
    <w:rsid w:val="738C1B04"/>
    <w:rsid w:val="73992CFF"/>
    <w:rsid w:val="73A14E65"/>
    <w:rsid w:val="73C24E5D"/>
    <w:rsid w:val="73C75911"/>
    <w:rsid w:val="73F102BF"/>
    <w:rsid w:val="73F34C03"/>
    <w:rsid w:val="74045663"/>
    <w:rsid w:val="743240C2"/>
    <w:rsid w:val="74342757"/>
    <w:rsid w:val="743B703A"/>
    <w:rsid w:val="743E2A82"/>
    <w:rsid w:val="745E6741"/>
    <w:rsid w:val="749B7F7C"/>
    <w:rsid w:val="74B32EFB"/>
    <w:rsid w:val="74BA18C3"/>
    <w:rsid w:val="74C63165"/>
    <w:rsid w:val="74E92434"/>
    <w:rsid w:val="752A512E"/>
    <w:rsid w:val="753D317A"/>
    <w:rsid w:val="75610672"/>
    <w:rsid w:val="757242AA"/>
    <w:rsid w:val="75780240"/>
    <w:rsid w:val="759235EE"/>
    <w:rsid w:val="75924E89"/>
    <w:rsid w:val="759632F0"/>
    <w:rsid w:val="759C2AED"/>
    <w:rsid w:val="759D333B"/>
    <w:rsid w:val="75E938ED"/>
    <w:rsid w:val="760018DF"/>
    <w:rsid w:val="76042535"/>
    <w:rsid w:val="7653554B"/>
    <w:rsid w:val="768335E7"/>
    <w:rsid w:val="76865038"/>
    <w:rsid w:val="76922F4A"/>
    <w:rsid w:val="76AC7340"/>
    <w:rsid w:val="76C1333B"/>
    <w:rsid w:val="76E4187F"/>
    <w:rsid w:val="77123533"/>
    <w:rsid w:val="7729606E"/>
    <w:rsid w:val="77307B9F"/>
    <w:rsid w:val="7734713D"/>
    <w:rsid w:val="77505F09"/>
    <w:rsid w:val="778176FD"/>
    <w:rsid w:val="77C50D0D"/>
    <w:rsid w:val="77CC2911"/>
    <w:rsid w:val="77CF0422"/>
    <w:rsid w:val="77E13522"/>
    <w:rsid w:val="77E61911"/>
    <w:rsid w:val="77F507D7"/>
    <w:rsid w:val="78131BB3"/>
    <w:rsid w:val="781F139A"/>
    <w:rsid w:val="7825118F"/>
    <w:rsid w:val="782F122A"/>
    <w:rsid w:val="783074C7"/>
    <w:rsid w:val="783A0B03"/>
    <w:rsid w:val="78595ACA"/>
    <w:rsid w:val="788179C5"/>
    <w:rsid w:val="78894EDF"/>
    <w:rsid w:val="788B1B63"/>
    <w:rsid w:val="789E148F"/>
    <w:rsid w:val="78A00BFF"/>
    <w:rsid w:val="78B014D0"/>
    <w:rsid w:val="78BC5E27"/>
    <w:rsid w:val="78E265D0"/>
    <w:rsid w:val="78EE039F"/>
    <w:rsid w:val="790502CC"/>
    <w:rsid w:val="7921667F"/>
    <w:rsid w:val="7923173C"/>
    <w:rsid w:val="793B3752"/>
    <w:rsid w:val="793E15F0"/>
    <w:rsid w:val="794C1DC8"/>
    <w:rsid w:val="79567BC1"/>
    <w:rsid w:val="79574721"/>
    <w:rsid w:val="798A4B36"/>
    <w:rsid w:val="79971647"/>
    <w:rsid w:val="79B012C8"/>
    <w:rsid w:val="79B57083"/>
    <w:rsid w:val="79BA28C7"/>
    <w:rsid w:val="79C51AFF"/>
    <w:rsid w:val="79CD19AA"/>
    <w:rsid w:val="79D71638"/>
    <w:rsid w:val="79F8124B"/>
    <w:rsid w:val="79FB09DE"/>
    <w:rsid w:val="7A08773D"/>
    <w:rsid w:val="7A21722D"/>
    <w:rsid w:val="7A25234E"/>
    <w:rsid w:val="7A4636AD"/>
    <w:rsid w:val="7A7A2E42"/>
    <w:rsid w:val="7A9247F6"/>
    <w:rsid w:val="7A9F3EBF"/>
    <w:rsid w:val="7AA74056"/>
    <w:rsid w:val="7AB85DBE"/>
    <w:rsid w:val="7AC202DC"/>
    <w:rsid w:val="7AF84142"/>
    <w:rsid w:val="7B3A2B39"/>
    <w:rsid w:val="7B5B5761"/>
    <w:rsid w:val="7B6D663E"/>
    <w:rsid w:val="7B797267"/>
    <w:rsid w:val="7B847030"/>
    <w:rsid w:val="7B8947BB"/>
    <w:rsid w:val="7B8E71EE"/>
    <w:rsid w:val="7BA03099"/>
    <w:rsid w:val="7BAC29E3"/>
    <w:rsid w:val="7BBD3596"/>
    <w:rsid w:val="7BBD4935"/>
    <w:rsid w:val="7BDC402A"/>
    <w:rsid w:val="7C23024D"/>
    <w:rsid w:val="7C277A06"/>
    <w:rsid w:val="7C441620"/>
    <w:rsid w:val="7C5C37C1"/>
    <w:rsid w:val="7C9B290F"/>
    <w:rsid w:val="7CA039B2"/>
    <w:rsid w:val="7CBE0D60"/>
    <w:rsid w:val="7CC30638"/>
    <w:rsid w:val="7CC3696F"/>
    <w:rsid w:val="7CD35AA8"/>
    <w:rsid w:val="7CDA4F1A"/>
    <w:rsid w:val="7CE21BBB"/>
    <w:rsid w:val="7CEE7DBB"/>
    <w:rsid w:val="7CFC7EAF"/>
    <w:rsid w:val="7D030377"/>
    <w:rsid w:val="7D0F46C9"/>
    <w:rsid w:val="7D3C2574"/>
    <w:rsid w:val="7D422B4B"/>
    <w:rsid w:val="7D5503BB"/>
    <w:rsid w:val="7D5870A3"/>
    <w:rsid w:val="7D65108B"/>
    <w:rsid w:val="7D805088"/>
    <w:rsid w:val="7D8D399E"/>
    <w:rsid w:val="7DA44C90"/>
    <w:rsid w:val="7DBD2A45"/>
    <w:rsid w:val="7DC61739"/>
    <w:rsid w:val="7DCE7DCB"/>
    <w:rsid w:val="7DDF78AE"/>
    <w:rsid w:val="7DE8464F"/>
    <w:rsid w:val="7E320CD2"/>
    <w:rsid w:val="7E3C1BB7"/>
    <w:rsid w:val="7E433D86"/>
    <w:rsid w:val="7E453E21"/>
    <w:rsid w:val="7E6733D6"/>
    <w:rsid w:val="7E6D14F7"/>
    <w:rsid w:val="7E8F103B"/>
    <w:rsid w:val="7EA26248"/>
    <w:rsid w:val="7EA560E5"/>
    <w:rsid w:val="7EA809C6"/>
    <w:rsid w:val="7EB4043F"/>
    <w:rsid w:val="7EC107B7"/>
    <w:rsid w:val="7ECB0B36"/>
    <w:rsid w:val="7ED405C4"/>
    <w:rsid w:val="7EF974B6"/>
    <w:rsid w:val="7F311ED2"/>
    <w:rsid w:val="7F432A91"/>
    <w:rsid w:val="7F5333A6"/>
    <w:rsid w:val="7F7B42DE"/>
    <w:rsid w:val="7F8924C3"/>
    <w:rsid w:val="7F8E2A6E"/>
    <w:rsid w:val="7FAA5FC2"/>
    <w:rsid w:val="7FB44169"/>
    <w:rsid w:val="7FCE3C18"/>
    <w:rsid w:val="7FE57190"/>
    <w:rsid w:val="7FEB0C9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黑体"/>
      <w:kern w:val="2"/>
      <w:sz w:val="21"/>
      <w:szCs w:val="22"/>
      <w:lang w:val="en-US" w:eastAsia="zh-CN" w:bidi="ar-SA"/>
    </w:rPr>
  </w:style>
  <w:style w:type="paragraph" w:styleId="2">
    <w:name w:val="heading 1"/>
    <w:basedOn w:val="1"/>
    <w:next w:val="1"/>
    <w:link w:val="64"/>
    <w:qFormat/>
    <w:uiPriority w:val="0"/>
    <w:pPr>
      <w:keepNext/>
      <w:keepLines/>
      <w:spacing w:before="340" w:beforeLines="0" w:beforeAutospacing="0" w:after="330" w:afterLines="0" w:afterAutospacing="0" w:line="576" w:lineRule="auto"/>
      <w:outlineLvl w:val="0"/>
    </w:pPr>
    <w:rPr>
      <w:rFonts w:ascii="Times New Roman" w:hAnsi="Times New Roman" w:cs="Times New Roman"/>
      <w:b/>
      <w:kern w:val="44"/>
      <w:sz w:val="44"/>
      <w:szCs w:val="20"/>
    </w:rPr>
  </w:style>
  <w:style w:type="paragraph" w:styleId="3">
    <w:name w:val="heading 2"/>
    <w:basedOn w:val="1"/>
    <w:next w:val="1"/>
    <w:link w:val="75"/>
    <w:qFormat/>
    <w:uiPriority w:val="9"/>
    <w:pPr>
      <w:keepNext/>
      <w:keepLines/>
      <w:spacing w:before="260" w:after="260" w:line="415" w:lineRule="auto"/>
      <w:outlineLvl w:val="1"/>
    </w:pPr>
    <w:rPr>
      <w:rFonts w:ascii="Cambria" w:hAnsi="Cambria" w:cs="Times New Roman"/>
      <w:b/>
      <w:bCs/>
      <w:sz w:val="32"/>
      <w:szCs w:val="32"/>
    </w:rPr>
  </w:style>
  <w:style w:type="paragraph" w:styleId="4">
    <w:name w:val="heading 3"/>
    <w:basedOn w:val="1"/>
    <w:next w:val="1"/>
    <w:link w:val="78"/>
    <w:qFormat/>
    <w:uiPriority w:val="9"/>
    <w:pPr>
      <w:keepNext/>
      <w:keepLines/>
      <w:spacing w:before="260" w:after="260" w:line="416" w:lineRule="auto"/>
      <w:outlineLvl w:val="2"/>
    </w:pPr>
    <w:rPr>
      <w:rFonts w:cs="Times New Roman"/>
      <w:b/>
      <w:bCs/>
      <w:sz w:val="32"/>
      <w:szCs w:val="32"/>
    </w:rPr>
  </w:style>
  <w:style w:type="paragraph" w:styleId="5">
    <w:name w:val="heading 4"/>
    <w:basedOn w:val="1"/>
    <w:next w:val="1"/>
    <w:link w:val="73"/>
    <w:qFormat/>
    <w:uiPriority w:val="0"/>
    <w:pPr>
      <w:keepNext/>
      <w:keepLines/>
      <w:spacing w:before="280" w:beforeLines="0" w:beforeAutospacing="0" w:after="290" w:afterLines="0" w:afterAutospacing="0" w:line="372" w:lineRule="auto"/>
      <w:outlineLvl w:val="3"/>
    </w:pPr>
    <w:rPr>
      <w:rFonts w:ascii="Arial" w:hAnsi="Arial" w:eastAsia="黑体" w:cs="Times New Roman"/>
      <w:b/>
      <w:kern w:val="0"/>
      <w:sz w:val="28"/>
      <w:szCs w:val="20"/>
    </w:rPr>
  </w:style>
  <w:style w:type="character" w:default="1" w:styleId="19">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6">
    <w:name w:val="annotation text"/>
    <w:basedOn w:val="1"/>
    <w:link w:val="58"/>
    <w:unhideWhenUsed/>
    <w:qFormat/>
    <w:uiPriority w:val="0"/>
    <w:pPr>
      <w:jc w:val="left"/>
    </w:pPr>
    <w:rPr>
      <w:rFonts w:cs="Times New Roman"/>
    </w:rPr>
  </w:style>
  <w:style w:type="paragraph" w:styleId="7">
    <w:name w:val="List 2"/>
    <w:basedOn w:val="1"/>
    <w:link w:val="60"/>
    <w:unhideWhenUsed/>
    <w:qFormat/>
    <w:uiPriority w:val="0"/>
    <w:pPr>
      <w:ind w:left="840" w:hanging="420"/>
    </w:pPr>
  </w:style>
  <w:style w:type="paragraph" w:styleId="8">
    <w:name w:val="toc 3"/>
    <w:basedOn w:val="1"/>
    <w:next w:val="1"/>
    <w:link w:val="66"/>
    <w:unhideWhenUsed/>
    <w:qFormat/>
    <w:uiPriority w:val="39"/>
    <w:pPr>
      <w:ind w:left="840" w:leftChars="400"/>
    </w:pPr>
  </w:style>
  <w:style w:type="paragraph" w:styleId="9">
    <w:name w:val="Plain Text"/>
    <w:basedOn w:val="1"/>
    <w:link w:val="63"/>
    <w:qFormat/>
    <w:uiPriority w:val="99"/>
    <w:pPr>
      <w:spacing w:line="240" w:lineRule="auto"/>
      <w:jc w:val="left"/>
    </w:pPr>
    <w:rPr>
      <w:rFonts w:ascii="宋体" w:hAnsi="Courier New" w:cs="Times New Roman"/>
      <w:kern w:val="0"/>
      <w:szCs w:val="21"/>
    </w:rPr>
  </w:style>
  <w:style w:type="paragraph" w:styleId="10">
    <w:name w:val="Balloon Text"/>
    <w:basedOn w:val="1"/>
    <w:link w:val="61"/>
    <w:qFormat/>
    <w:uiPriority w:val="0"/>
    <w:rPr>
      <w:rFonts w:ascii="Times New Roman" w:hAnsi="Times New Roman" w:cs="Times New Roman"/>
      <w:kern w:val="0"/>
      <w:sz w:val="18"/>
      <w:szCs w:val="18"/>
    </w:rPr>
  </w:style>
  <w:style w:type="paragraph" w:styleId="11">
    <w:name w:val="footer"/>
    <w:basedOn w:val="1"/>
    <w:link w:val="72"/>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2">
    <w:name w:val="header"/>
    <w:basedOn w:val="1"/>
    <w:link w:val="56"/>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3">
    <w:name w:val="toc 1"/>
    <w:basedOn w:val="1"/>
    <w:next w:val="1"/>
    <w:unhideWhenUsed/>
    <w:qFormat/>
    <w:uiPriority w:val="39"/>
    <w:pPr>
      <w:tabs>
        <w:tab w:val="right" w:leader="dot" w:pos="9073"/>
      </w:tabs>
      <w:jc w:val="center"/>
    </w:pPr>
    <w:rPr>
      <w:b/>
      <w:sz w:val="40"/>
    </w:rPr>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99"/>
    <w:pPr>
      <w:widowControl/>
      <w:spacing w:before="100" w:beforeAutospacing="1" w:after="100" w:afterAutospacing="1" w:line="240" w:lineRule="auto"/>
      <w:jc w:val="left"/>
    </w:pPr>
    <w:rPr>
      <w:rFonts w:ascii="宋体" w:hAnsi="宋体" w:cs="宋体"/>
      <w:kern w:val="0"/>
      <w:sz w:val="24"/>
      <w:szCs w:val="24"/>
    </w:rPr>
  </w:style>
  <w:style w:type="paragraph" w:styleId="16">
    <w:name w:val="annotation subject"/>
    <w:basedOn w:val="6"/>
    <w:next w:val="6"/>
    <w:link w:val="54"/>
    <w:unhideWhenUsed/>
    <w:qFormat/>
    <w:uiPriority w:val="0"/>
  </w:style>
  <w:style w:type="table" w:styleId="18">
    <w:name w:val="Table Grid"/>
    <w:basedOn w:val="17"/>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unhideWhenUsed/>
    <w:qFormat/>
    <w:uiPriority w:val="0"/>
  </w:style>
  <w:style w:type="character" w:styleId="22">
    <w:name w:val="FollowedHyperlink"/>
    <w:unhideWhenUsed/>
    <w:qFormat/>
    <w:uiPriority w:val="0"/>
    <w:rPr>
      <w:color w:val="800080"/>
      <w:u w:val="single"/>
    </w:rPr>
  </w:style>
  <w:style w:type="character" w:styleId="23">
    <w:name w:val="Hyperlink"/>
    <w:qFormat/>
    <w:uiPriority w:val="99"/>
    <w:rPr>
      <w:color w:val="0000FF"/>
      <w:u w:val="single"/>
    </w:rPr>
  </w:style>
  <w:style w:type="character" w:styleId="24">
    <w:name w:val="annotation reference"/>
    <w:unhideWhenUsed/>
    <w:qFormat/>
    <w:uiPriority w:val="0"/>
    <w:rPr>
      <w:sz w:val="21"/>
      <w:szCs w:val="21"/>
    </w:rPr>
  </w:style>
  <w:style w:type="paragraph" w:customStyle="1" w:styleId="25">
    <w:name w:val="Pa5"/>
    <w:basedOn w:val="26"/>
    <w:next w:val="26"/>
    <w:qFormat/>
    <w:uiPriority w:val="0"/>
    <w:pPr>
      <w:spacing w:line="241" w:lineRule="atLeast"/>
    </w:pPr>
    <w:rPr>
      <w:rFonts w:cs="黑体"/>
      <w:color w:val="auto"/>
    </w:rPr>
  </w:style>
  <w:style w:type="paragraph" w:customStyle="1" w:styleId="26">
    <w:name w:val="Default"/>
    <w:qFormat/>
    <w:uiPriority w:val="0"/>
    <w:pPr>
      <w:widowControl w:val="0"/>
      <w:autoSpaceDE w:val="0"/>
      <w:autoSpaceDN w:val="0"/>
      <w:adjustRightInd w:val="0"/>
    </w:pPr>
    <w:rPr>
      <w:rFonts w:ascii="方正大黑简体" w:hAnsi="Times New Roman" w:eastAsia="方正大黑简体" w:cs="方正大黑简体"/>
      <w:color w:val="000000"/>
      <w:sz w:val="24"/>
      <w:szCs w:val="24"/>
      <w:lang w:val="en-US" w:eastAsia="zh-CN" w:bidi="ar-SA"/>
    </w:rPr>
  </w:style>
  <w:style w:type="paragraph" w:customStyle="1" w:styleId="27">
    <w:name w:val="Pa28"/>
    <w:basedOn w:val="26"/>
    <w:next w:val="26"/>
    <w:unhideWhenUsed/>
    <w:qFormat/>
    <w:uiPriority w:val="99"/>
    <w:pPr>
      <w:spacing w:line="241" w:lineRule="atLeast"/>
    </w:pPr>
  </w:style>
  <w:style w:type="paragraph" w:customStyle="1" w:styleId="28">
    <w:name w:val="Pa7"/>
    <w:basedOn w:val="26"/>
    <w:next w:val="26"/>
    <w:qFormat/>
    <w:uiPriority w:val="0"/>
    <w:pPr>
      <w:spacing w:line="241" w:lineRule="atLeast"/>
    </w:pPr>
    <w:rPr>
      <w:rFonts w:cs="黑体"/>
      <w:color w:val="auto"/>
    </w:rPr>
  </w:style>
  <w:style w:type="paragraph" w:customStyle="1" w:styleId="29">
    <w:name w:val="列出段落11"/>
    <w:basedOn w:val="1"/>
    <w:qFormat/>
    <w:uiPriority w:val="99"/>
    <w:pPr>
      <w:ind w:firstLine="420" w:firstLineChars="200"/>
    </w:pPr>
  </w:style>
  <w:style w:type="paragraph" w:customStyle="1" w:styleId="30">
    <w:name w:val="正文文本缩进 32"/>
    <w:basedOn w:val="1"/>
    <w:link w:val="67"/>
    <w:qFormat/>
    <w:uiPriority w:val="0"/>
    <w:pPr>
      <w:widowControl/>
      <w:tabs>
        <w:tab w:val="left" w:pos="720"/>
        <w:tab w:val="left" w:pos="1440"/>
        <w:tab w:val="left" w:pos="2160"/>
      </w:tabs>
      <w:ind w:left="1440"/>
    </w:pPr>
    <w:rPr>
      <w:rFonts w:ascii="Arial" w:hAnsi="Arial" w:cs="Times New Roman"/>
      <w:kern w:val="0"/>
      <w:sz w:val="18"/>
      <w:szCs w:val="20"/>
    </w:rPr>
  </w:style>
  <w:style w:type="paragraph" w:customStyle="1" w:styleId="31">
    <w:name w:val="正文文本缩进1"/>
    <w:basedOn w:val="1"/>
    <w:link w:val="79"/>
    <w:qFormat/>
    <w:uiPriority w:val="0"/>
    <w:pPr>
      <w:spacing w:after="120"/>
      <w:ind w:left="420" w:leftChars="200"/>
    </w:pPr>
    <w:rPr>
      <w:rFonts w:cs="Times New Roman"/>
      <w:kern w:val="0"/>
      <w:sz w:val="20"/>
      <w:szCs w:val="20"/>
    </w:rPr>
  </w:style>
  <w:style w:type="paragraph" w:customStyle="1" w:styleId="32">
    <w:name w:val="列出段落6"/>
    <w:basedOn w:val="1"/>
    <w:unhideWhenUsed/>
    <w:qFormat/>
    <w:uiPriority w:val="99"/>
    <w:pPr>
      <w:ind w:firstLine="420" w:firstLineChars="200"/>
    </w:pPr>
  </w:style>
  <w:style w:type="paragraph" w:customStyle="1" w:styleId="33">
    <w:name w:val="样式2"/>
    <w:basedOn w:val="1"/>
    <w:qFormat/>
    <w:uiPriority w:val="0"/>
    <w:rPr>
      <w:rFonts w:eastAsia="等线"/>
      <w:sz w:val="24"/>
    </w:rPr>
  </w:style>
  <w:style w:type="paragraph" w:customStyle="1" w:styleId="34">
    <w:name w:val="msonospacing"/>
    <w:basedOn w:val="1"/>
    <w:qFormat/>
    <w:uiPriority w:val="0"/>
    <w:rPr>
      <w:rFonts w:cs="Times New Roman"/>
    </w:rPr>
  </w:style>
  <w:style w:type="paragraph" w:customStyle="1" w:styleId="35">
    <w:name w:val="Pa29"/>
    <w:basedOn w:val="26"/>
    <w:next w:val="26"/>
    <w:unhideWhenUsed/>
    <w:qFormat/>
    <w:uiPriority w:val="99"/>
    <w:pPr>
      <w:spacing w:line="241" w:lineRule="atLeast"/>
    </w:pPr>
  </w:style>
  <w:style w:type="paragraph" w:customStyle="1" w:styleId="36">
    <w:name w:val="列出段落3"/>
    <w:basedOn w:val="1"/>
    <w:qFormat/>
    <w:uiPriority w:val="34"/>
    <w:pPr>
      <w:ind w:firstLine="420" w:firstLineChars="200"/>
    </w:pPr>
    <w:rPr>
      <w:rFonts w:cs="Times New Roman"/>
    </w:rPr>
  </w:style>
  <w:style w:type="paragraph" w:customStyle="1" w:styleId="37">
    <w:name w:val="List Paragraph"/>
    <w:basedOn w:val="1"/>
    <w:unhideWhenUsed/>
    <w:qFormat/>
    <w:uiPriority w:val="99"/>
    <w:pPr>
      <w:ind w:firstLine="420" w:firstLineChars="200"/>
    </w:pPr>
  </w:style>
  <w:style w:type="paragraph" w:customStyle="1" w:styleId="38">
    <w:name w:val="样式1"/>
    <w:basedOn w:val="1"/>
    <w:next w:val="5"/>
    <w:qFormat/>
    <w:uiPriority w:val="0"/>
    <w:rPr>
      <w:rFonts w:eastAsia="等线"/>
      <w:sz w:val="24"/>
    </w:rPr>
  </w:style>
  <w:style w:type="paragraph" w:customStyle="1" w:styleId="39">
    <w:name w:val="列出段落5"/>
    <w:basedOn w:val="1"/>
    <w:qFormat/>
    <w:uiPriority w:val="99"/>
    <w:pPr>
      <w:ind w:firstLine="420" w:firstLineChars="200"/>
    </w:pPr>
  </w:style>
  <w:style w:type="paragraph" w:customStyle="1" w:styleId="40">
    <w:name w:val="Pa4"/>
    <w:basedOn w:val="26"/>
    <w:next w:val="26"/>
    <w:qFormat/>
    <w:uiPriority w:val="0"/>
    <w:pPr>
      <w:spacing w:line="241" w:lineRule="atLeast"/>
    </w:pPr>
    <w:rPr>
      <w:rFonts w:cs="黑体"/>
      <w:color w:val="auto"/>
    </w:rPr>
  </w:style>
  <w:style w:type="paragraph" w:customStyle="1" w:styleId="41">
    <w:name w:val="列出段落2"/>
    <w:basedOn w:val="1"/>
    <w:qFormat/>
    <w:uiPriority w:val="34"/>
    <w:pPr>
      <w:ind w:firstLine="420" w:firstLineChars="200"/>
    </w:pPr>
    <w:rPr>
      <w:rFonts w:cs="Times New Roman"/>
    </w:rPr>
  </w:style>
  <w:style w:type="paragraph" w:customStyle="1" w:styleId="42">
    <w:name w:val="Pa2"/>
    <w:basedOn w:val="26"/>
    <w:next w:val="26"/>
    <w:qFormat/>
    <w:uiPriority w:val="0"/>
    <w:pPr>
      <w:spacing w:line="241" w:lineRule="atLeast"/>
    </w:pPr>
    <w:rPr>
      <w:rFonts w:cs="黑体"/>
      <w:color w:val="auto"/>
    </w:rPr>
  </w:style>
  <w:style w:type="paragraph" w:customStyle="1" w:styleId="43">
    <w:name w:val="日期1"/>
    <w:basedOn w:val="1"/>
    <w:next w:val="1"/>
    <w:link w:val="57"/>
    <w:qFormat/>
    <w:uiPriority w:val="0"/>
    <w:pPr>
      <w:ind w:left="100" w:leftChars="2500"/>
    </w:pPr>
    <w:rPr>
      <w:rFonts w:cs="Times New Roman"/>
      <w:kern w:val="0"/>
      <w:sz w:val="20"/>
      <w:szCs w:val="20"/>
    </w:rPr>
  </w:style>
  <w:style w:type="paragraph" w:customStyle="1" w:styleId="44">
    <w:name w:val="_Style 43"/>
    <w:basedOn w:val="2"/>
    <w:next w:val="1"/>
    <w:qFormat/>
    <w:uiPriority w:val="39"/>
    <w:pPr>
      <w:widowControl/>
      <w:spacing w:before="240" w:after="0" w:line="259" w:lineRule="auto"/>
      <w:jc w:val="left"/>
      <w:outlineLvl w:val="9"/>
    </w:pPr>
    <w:rPr>
      <w:rFonts w:ascii="等线 Light" w:hAnsi="等线 Light" w:eastAsia="等线 Light" w:cs="Times New Roman"/>
      <w:b w:val="0"/>
      <w:color w:val="2E74B5"/>
      <w:kern w:val="0"/>
      <w:sz w:val="32"/>
      <w:szCs w:val="32"/>
      <w:lang w:val="en-US" w:eastAsia="zh-CN"/>
    </w:rPr>
  </w:style>
  <w:style w:type="paragraph" w:customStyle="1" w:styleId="45">
    <w:name w:val="无间隔1"/>
    <w:qFormat/>
    <w:uiPriority w:val="0"/>
    <w:pPr>
      <w:adjustRightInd w:val="0"/>
      <w:snapToGrid w:val="0"/>
    </w:pPr>
    <w:rPr>
      <w:rFonts w:ascii="Tahoma" w:hAnsi="Tahoma" w:eastAsia="微软雅黑" w:cs="Tahoma"/>
      <w:sz w:val="22"/>
      <w:lang w:val="en-US" w:eastAsia="zh-CN" w:bidi="ar-SA"/>
    </w:rPr>
  </w:style>
  <w:style w:type="paragraph" w:customStyle="1" w:styleId="46">
    <w:name w:val="列出段落12"/>
    <w:basedOn w:val="1"/>
    <w:qFormat/>
    <w:uiPriority w:val="0"/>
    <w:pPr>
      <w:ind w:firstLine="420" w:firstLineChars="200"/>
    </w:pPr>
  </w:style>
  <w:style w:type="paragraph" w:customStyle="1" w:styleId="47">
    <w:name w:val="Pa3"/>
    <w:basedOn w:val="26"/>
    <w:next w:val="26"/>
    <w:qFormat/>
    <w:uiPriority w:val="0"/>
    <w:pPr>
      <w:spacing w:line="241" w:lineRule="atLeast"/>
    </w:pPr>
    <w:rPr>
      <w:rFonts w:cs="黑体"/>
      <w:color w:val="auto"/>
    </w:rPr>
  </w:style>
  <w:style w:type="paragraph" w:customStyle="1" w:styleId="48">
    <w:name w:val="正文文本缩进 31"/>
    <w:basedOn w:val="1"/>
    <w:qFormat/>
    <w:uiPriority w:val="0"/>
    <w:pPr>
      <w:widowControl/>
      <w:tabs>
        <w:tab w:val="left" w:pos="720"/>
        <w:tab w:val="left" w:pos="1440"/>
        <w:tab w:val="left" w:pos="2160"/>
      </w:tabs>
      <w:ind w:left="1440"/>
    </w:pPr>
    <w:rPr>
      <w:rFonts w:ascii="Arial" w:hAnsi="Arial" w:cs="Times New Roman"/>
      <w:kern w:val="0"/>
      <w:sz w:val="18"/>
      <w:szCs w:val="20"/>
    </w:rPr>
  </w:style>
  <w:style w:type="paragraph" w:customStyle="1" w:styleId="49">
    <w:name w:val="修订1"/>
    <w:semiHidden/>
    <w:qFormat/>
    <w:uiPriority w:val="99"/>
    <w:rPr>
      <w:rFonts w:ascii="Calibri" w:hAnsi="Calibri" w:eastAsia="宋体" w:cs="黑体"/>
      <w:kern w:val="2"/>
      <w:sz w:val="21"/>
      <w:szCs w:val="22"/>
      <w:lang w:val="en-US" w:eastAsia="zh-CN" w:bidi="ar-SA"/>
    </w:rPr>
  </w:style>
  <w:style w:type="paragraph" w:customStyle="1" w:styleId="50">
    <w:name w:val="列出段落1"/>
    <w:basedOn w:val="1"/>
    <w:qFormat/>
    <w:uiPriority w:val="34"/>
    <w:pPr>
      <w:ind w:firstLine="420" w:firstLineChars="200"/>
    </w:pPr>
    <w:rPr>
      <w:rFonts w:cs="Times New Roman"/>
    </w:rPr>
  </w:style>
  <w:style w:type="paragraph" w:customStyle="1" w:styleId="51">
    <w:name w:val="_Style 25"/>
    <w:qFormat/>
    <w:uiPriority w:val="34"/>
    <w:pPr>
      <w:ind w:firstLine="420" w:firstLineChars="200"/>
    </w:pPr>
    <w:rPr>
      <w:rFonts w:ascii="Times New Roman" w:hAnsi="Times New Roman" w:eastAsia="宋体" w:cs="Times New Roman"/>
      <w:lang w:val="en-US" w:eastAsia="zh-CN" w:bidi="ar-SA"/>
    </w:rPr>
  </w:style>
  <w:style w:type="paragraph" w:customStyle="1" w:styleId="52">
    <w:name w:val="Pa0"/>
    <w:basedOn w:val="26"/>
    <w:next w:val="26"/>
    <w:qFormat/>
    <w:uiPriority w:val="99"/>
    <w:pPr>
      <w:spacing w:line="241" w:lineRule="atLeast"/>
    </w:pPr>
    <w:rPr>
      <w:rFonts w:cs="黑体"/>
      <w:color w:val="auto"/>
    </w:rPr>
  </w:style>
  <w:style w:type="paragraph" w:customStyle="1" w:styleId="53">
    <w:name w:val="列出段落4"/>
    <w:basedOn w:val="1"/>
    <w:qFormat/>
    <w:uiPriority w:val="99"/>
    <w:pPr>
      <w:ind w:firstLine="420" w:firstLineChars="200"/>
    </w:pPr>
  </w:style>
  <w:style w:type="character" w:customStyle="1" w:styleId="54">
    <w:name w:val="批注主题 Char"/>
    <w:link w:val="16"/>
    <w:qFormat/>
    <w:uiPriority w:val="0"/>
    <w:rPr>
      <w:rFonts w:ascii="Calibri" w:hAnsi="Calibri" w:cs="黑体"/>
      <w:kern w:val="2"/>
      <w:sz w:val="21"/>
      <w:szCs w:val="22"/>
    </w:rPr>
  </w:style>
  <w:style w:type="character" w:customStyle="1" w:styleId="55">
    <w:name w:val="A1"/>
    <w:qFormat/>
    <w:uiPriority w:val="99"/>
    <w:rPr>
      <w:rFonts w:cs="方正大黑简体"/>
      <w:color w:val="000000"/>
      <w:sz w:val="18"/>
      <w:szCs w:val="18"/>
    </w:rPr>
  </w:style>
  <w:style w:type="character" w:customStyle="1" w:styleId="56">
    <w:name w:val="页眉 Char"/>
    <w:link w:val="12"/>
    <w:qFormat/>
    <w:uiPriority w:val="99"/>
    <w:rPr>
      <w:sz w:val="18"/>
      <w:szCs w:val="18"/>
    </w:rPr>
  </w:style>
  <w:style w:type="character" w:customStyle="1" w:styleId="57">
    <w:name w:val="日期 Char"/>
    <w:link w:val="43"/>
    <w:qFormat/>
    <w:uiPriority w:val="0"/>
    <w:rPr>
      <w:rFonts w:ascii="Calibri" w:hAnsi="Calibri" w:eastAsia="宋体" w:cs="黑体"/>
    </w:rPr>
  </w:style>
  <w:style w:type="character" w:customStyle="1" w:styleId="58">
    <w:name w:val="批注文字 Char"/>
    <w:link w:val="6"/>
    <w:qFormat/>
    <w:uiPriority w:val="0"/>
    <w:rPr>
      <w:rFonts w:ascii="Calibri" w:hAnsi="Calibri" w:cs="黑体"/>
      <w:kern w:val="2"/>
      <w:sz w:val="21"/>
      <w:szCs w:val="22"/>
    </w:rPr>
  </w:style>
  <w:style w:type="character" w:customStyle="1" w:styleId="59">
    <w:name w:val="A6"/>
    <w:qFormat/>
    <w:uiPriority w:val="0"/>
    <w:rPr>
      <w:rFonts w:cs="方正大黑简体"/>
      <w:color w:val="000000"/>
      <w:sz w:val="28"/>
      <w:szCs w:val="28"/>
    </w:rPr>
  </w:style>
  <w:style w:type="character" w:customStyle="1" w:styleId="60">
    <w:name w:val="列表 2 Char"/>
    <w:link w:val="7"/>
    <w:qFormat/>
    <w:uiPriority w:val="0"/>
  </w:style>
  <w:style w:type="character" w:customStyle="1" w:styleId="61">
    <w:name w:val="批注框文本 Char"/>
    <w:link w:val="10"/>
    <w:qFormat/>
    <w:uiPriority w:val="0"/>
    <w:rPr>
      <w:sz w:val="18"/>
      <w:szCs w:val="18"/>
    </w:rPr>
  </w:style>
  <w:style w:type="character" w:customStyle="1" w:styleId="62">
    <w:name w:val="页脚 Char1"/>
    <w:semiHidden/>
    <w:qFormat/>
    <w:uiPriority w:val="99"/>
    <w:rPr>
      <w:rFonts w:ascii="Calibri" w:hAnsi="Calibri" w:eastAsia="宋体" w:cs="黑体"/>
      <w:sz w:val="18"/>
      <w:szCs w:val="18"/>
    </w:rPr>
  </w:style>
  <w:style w:type="character" w:customStyle="1" w:styleId="63">
    <w:name w:val="纯文本 Char"/>
    <w:link w:val="9"/>
    <w:qFormat/>
    <w:uiPriority w:val="99"/>
    <w:rPr>
      <w:rFonts w:ascii="宋体" w:hAnsi="Courier New"/>
      <w:sz w:val="21"/>
      <w:szCs w:val="21"/>
    </w:rPr>
  </w:style>
  <w:style w:type="character" w:customStyle="1" w:styleId="64">
    <w:name w:val="标题 1 Char"/>
    <w:link w:val="2"/>
    <w:qFormat/>
    <w:uiPriority w:val="0"/>
    <w:rPr>
      <w:b/>
      <w:kern w:val="44"/>
      <w:sz w:val="44"/>
    </w:rPr>
  </w:style>
  <w:style w:type="character" w:customStyle="1" w:styleId="65">
    <w:name w:val="A4"/>
    <w:qFormat/>
    <w:uiPriority w:val="99"/>
    <w:rPr>
      <w:rFonts w:cs="方正大黑简体"/>
      <w:color w:val="000000"/>
      <w:sz w:val="20"/>
      <w:szCs w:val="20"/>
    </w:rPr>
  </w:style>
  <w:style w:type="character" w:customStyle="1" w:styleId="66">
    <w:name w:val="目录 3 Char"/>
    <w:link w:val="8"/>
    <w:qFormat/>
    <w:uiPriority w:val="39"/>
  </w:style>
  <w:style w:type="character" w:customStyle="1" w:styleId="67">
    <w:name w:val="正文文本缩进 3 Char"/>
    <w:link w:val="30"/>
    <w:qFormat/>
    <w:uiPriority w:val="0"/>
    <w:rPr>
      <w:rFonts w:ascii="Arial" w:hAnsi="Arial" w:eastAsia="宋体" w:cs="Times New Roman"/>
      <w:kern w:val="0"/>
      <w:sz w:val="18"/>
      <w:szCs w:val="20"/>
    </w:rPr>
  </w:style>
  <w:style w:type="character" w:customStyle="1" w:styleId="68">
    <w:name w:val="A3"/>
    <w:qFormat/>
    <w:uiPriority w:val="0"/>
    <w:rPr>
      <w:rFonts w:cs="方正大黑简体"/>
      <w:color w:val="000000"/>
      <w:sz w:val="72"/>
      <w:szCs w:val="72"/>
    </w:rPr>
  </w:style>
  <w:style w:type="character" w:customStyle="1" w:styleId="69">
    <w:name w:val="批注框文本 Char1"/>
    <w:semiHidden/>
    <w:qFormat/>
    <w:uiPriority w:val="99"/>
    <w:rPr>
      <w:rFonts w:ascii="Calibri" w:hAnsi="Calibri" w:eastAsia="宋体" w:cs="黑体"/>
      <w:sz w:val="18"/>
      <w:szCs w:val="18"/>
    </w:rPr>
  </w:style>
  <w:style w:type="character" w:customStyle="1" w:styleId="70">
    <w:name w:val="fontstyle01"/>
    <w:qFormat/>
    <w:uiPriority w:val="0"/>
    <w:rPr>
      <w:rFonts w:hint="eastAsia" w:ascii="宋体" w:hAnsi="宋体" w:eastAsia="宋体" w:cs="宋体"/>
      <w:color w:val="000000"/>
      <w:sz w:val="28"/>
      <w:szCs w:val="28"/>
    </w:rPr>
  </w:style>
  <w:style w:type="character" w:customStyle="1" w:styleId="71">
    <w:name w:val="line-name"/>
    <w:basedOn w:val="19"/>
    <w:qFormat/>
    <w:uiPriority w:val="99"/>
    <w:rPr>
      <w:rFonts w:cs="Times New Roman"/>
    </w:rPr>
  </w:style>
  <w:style w:type="character" w:customStyle="1" w:styleId="72">
    <w:name w:val="页脚 Char"/>
    <w:link w:val="11"/>
    <w:qFormat/>
    <w:uiPriority w:val="99"/>
    <w:rPr>
      <w:sz w:val="18"/>
      <w:szCs w:val="18"/>
    </w:rPr>
  </w:style>
  <w:style w:type="character" w:customStyle="1" w:styleId="73">
    <w:name w:val="标题 4 Char"/>
    <w:link w:val="5"/>
    <w:qFormat/>
    <w:uiPriority w:val="0"/>
    <w:rPr>
      <w:rFonts w:ascii="Arial" w:hAnsi="Arial" w:eastAsia="黑体"/>
      <w:b/>
      <w:sz w:val="28"/>
    </w:rPr>
  </w:style>
  <w:style w:type="character" w:customStyle="1" w:styleId="74">
    <w:name w:val="页眉 Char1"/>
    <w:semiHidden/>
    <w:qFormat/>
    <w:uiPriority w:val="99"/>
    <w:rPr>
      <w:rFonts w:ascii="Calibri" w:hAnsi="Calibri" w:eastAsia="宋体" w:cs="黑体"/>
      <w:sz w:val="18"/>
      <w:szCs w:val="18"/>
    </w:rPr>
  </w:style>
  <w:style w:type="character" w:customStyle="1" w:styleId="75">
    <w:name w:val="标题 2 Char"/>
    <w:link w:val="3"/>
    <w:qFormat/>
    <w:uiPriority w:val="9"/>
    <w:rPr>
      <w:rFonts w:ascii="Cambria" w:hAnsi="Cambria" w:cs="黑体"/>
      <w:b/>
      <w:bCs/>
      <w:kern w:val="2"/>
      <w:sz w:val="32"/>
      <w:szCs w:val="32"/>
    </w:rPr>
  </w:style>
  <w:style w:type="character" w:customStyle="1" w:styleId="76">
    <w:name w:val="A5"/>
    <w:qFormat/>
    <w:uiPriority w:val="0"/>
    <w:rPr>
      <w:rFonts w:ascii="宋体'黑简体" w:eastAsia="宋体'黑简体" w:cs="宋体'黑简体"/>
      <w:color w:val="000000"/>
      <w:sz w:val="22"/>
      <w:szCs w:val="22"/>
    </w:rPr>
  </w:style>
  <w:style w:type="character" w:customStyle="1" w:styleId="77">
    <w:name w:val="apple-converted-space"/>
    <w:basedOn w:val="19"/>
    <w:qFormat/>
    <w:uiPriority w:val="0"/>
  </w:style>
  <w:style w:type="character" w:customStyle="1" w:styleId="78">
    <w:name w:val="标题 3 Char"/>
    <w:link w:val="4"/>
    <w:semiHidden/>
    <w:qFormat/>
    <w:uiPriority w:val="9"/>
    <w:rPr>
      <w:rFonts w:ascii="Calibri" w:hAnsi="Calibri" w:cs="黑体"/>
      <w:b/>
      <w:bCs/>
      <w:kern w:val="2"/>
      <w:sz w:val="32"/>
      <w:szCs w:val="32"/>
    </w:rPr>
  </w:style>
  <w:style w:type="character" w:customStyle="1" w:styleId="79">
    <w:name w:val="正文文本缩进 Char"/>
    <w:link w:val="31"/>
    <w:qFormat/>
    <w:uiPriority w:val="0"/>
    <w:rPr>
      <w:rFonts w:ascii="Calibri" w:hAnsi="Calibri" w:eastAsia="宋体" w:cs="黑体"/>
    </w:rPr>
  </w:style>
  <w:style w:type="paragraph" w:customStyle="1" w:styleId="80">
    <w:name w:val="WPSOffice手动目录 1"/>
    <w:qFormat/>
    <w:uiPriority w:val="0"/>
    <w:pPr>
      <w:ind w:leftChars="0"/>
    </w:pPr>
    <w:rPr>
      <w:rFonts w:asciiTheme="minorHAnsi" w:hAnsiTheme="minorHAnsi" w:eastAsiaTheme="minorEastAsia" w:cstheme="minorBidi"/>
      <w:sz w:val="20"/>
      <w:szCs w:val="20"/>
    </w:rPr>
  </w:style>
  <w:style w:type="paragraph" w:customStyle="1" w:styleId="81">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ce28c49-d43e-4a0a-ae5c-d91d668bb689}"/>
        <w:style w:val=""/>
        <w:category>
          <w:name w:val="常规"/>
          <w:gallery w:val="placeholder"/>
        </w:category>
        <w:types>
          <w:type w:val="bbPlcHdr"/>
        </w:types>
        <w:behaviors>
          <w:behavior w:val="content"/>
        </w:behaviors>
        <w:description w:val=""/>
        <w:guid w:val="{6ce28c49-d43e-4a0a-ae5c-d91d668bb689}"/>
      </w:docPartPr>
      <w:docPartBody>
        <w:p>
          <w:r>
            <w:rPr>
              <w:color w:val="808080"/>
            </w:rPr>
            <w:t>单击此处输入文字。</w:t>
          </w:r>
        </w:p>
      </w:docPartBody>
    </w:docPart>
    <w:docPart>
      <w:docPartPr>
        <w:name w:val="{0c6283ee-b048-499e-b672-a783560ce1ec}"/>
        <w:style w:val=""/>
        <w:category>
          <w:name w:val="常规"/>
          <w:gallery w:val="placeholder"/>
        </w:category>
        <w:types>
          <w:type w:val="bbPlcHdr"/>
        </w:types>
        <w:behaviors>
          <w:behavior w:val="content"/>
        </w:behaviors>
        <w:description w:val=""/>
        <w:guid w:val="{0c6283ee-b048-499e-b672-a783560ce1ec}"/>
      </w:docPartPr>
      <w:docPartBody>
        <w:p>
          <w:r>
            <w:rPr>
              <w:color w:val="808080"/>
            </w:rPr>
            <w:t>单击此处输入文字。</w:t>
          </w:r>
        </w:p>
      </w:docPartBody>
    </w:docPart>
    <w:docPart>
      <w:docPartPr>
        <w:name w:val="{34f20f97-4aff-4ecd-aa43-ca9c05793844}"/>
        <w:style w:val=""/>
        <w:category>
          <w:name w:val="常规"/>
          <w:gallery w:val="placeholder"/>
        </w:category>
        <w:types>
          <w:type w:val="bbPlcHdr"/>
        </w:types>
        <w:behaviors>
          <w:behavior w:val="content"/>
        </w:behaviors>
        <w:description w:val=""/>
        <w:guid w:val="{34f20f97-4aff-4ecd-aa43-ca9c05793844}"/>
      </w:docPartPr>
      <w:docPartBody>
        <w:p>
          <w:r>
            <w:rPr>
              <w:color w:val="808080"/>
            </w:rPr>
            <w:t>单击此处输入文字。</w:t>
          </w:r>
        </w:p>
      </w:docPartBody>
    </w:docPart>
    <w:docPart>
      <w:docPartPr>
        <w:name w:val="{77b79ffc-28a2-4e10-8b74-6dbf642d5c73}"/>
        <w:style w:val=""/>
        <w:category>
          <w:name w:val="常规"/>
          <w:gallery w:val="placeholder"/>
        </w:category>
        <w:types>
          <w:type w:val="bbPlcHdr"/>
        </w:types>
        <w:behaviors>
          <w:behavior w:val="content"/>
        </w:behaviors>
        <w:description w:val=""/>
        <w:guid w:val="{77b79ffc-28a2-4e10-8b74-6dbf642d5c73}"/>
      </w:docPartPr>
      <w:docPartBody>
        <w:p>
          <w:r>
            <w:rPr>
              <w:color w:val="808080"/>
            </w:rPr>
            <w:t>单击此处输入文字。</w:t>
          </w:r>
        </w:p>
      </w:docPartBody>
    </w:docPart>
    <w:docPart>
      <w:docPartPr>
        <w:name w:val="{06a71a38-a5e7-47a0-b55f-7585847ea6a9}"/>
        <w:style w:val=""/>
        <w:category>
          <w:name w:val="常规"/>
          <w:gallery w:val="placeholder"/>
        </w:category>
        <w:types>
          <w:type w:val="bbPlcHdr"/>
        </w:types>
        <w:behaviors>
          <w:behavior w:val="content"/>
        </w:behaviors>
        <w:description w:val=""/>
        <w:guid w:val="{06a71a38-a5e7-47a0-b55f-7585847ea6a9}"/>
      </w:docPartPr>
      <w:docPartBody>
        <w:p>
          <w:r>
            <w:rPr>
              <w:color w:val="808080"/>
            </w:rPr>
            <w:t>单击此处输入文字。</w:t>
          </w:r>
        </w:p>
      </w:docPartBody>
    </w:docPart>
    <w:docPart>
      <w:docPartPr>
        <w:name w:val="{043447fd-cca3-4077-9526-f27de2c5dc87}"/>
        <w:style w:val=""/>
        <w:category>
          <w:name w:val="常规"/>
          <w:gallery w:val="placeholder"/>
        </w:category>
        <w:types>
          <w:type w:val="bbPlcHdr"/>
        </w:types>
        <w:behaviors>
          <w:behavior w:val="content"/>
        </w:behaviors>
        <w:description w:val=""/>
        <w:guid w:val="{043447fd-cca3-4077-9526-f27de2c5dc87}"/>
      </w:docPartPr>
      <w:docPartBody>
        <w:p>
          <w:r>
            <w:rPr>
              <w:color w:val="808080"/>
            </w:rPr>
            <w:t>单击此处输入文字。</w:t>
          </w:r>
        </w:p>
      </w:docPartBody>
    </w:docPart>
    <w:docPart>
      <w:docPartPr>
        <w:name w:val="{ede1a5d9-8e2a-4c15-86b6-8625ad12e163}"/>
        <w:style w:val=""/>
        <w:category>
          <w:name w:val="常规"/>
          <w:gallery w:val="placeholder"/>
        </w:category>
        <w:types>
          <w:type w:val="bbPlcHdr"/>
        </w:types>
        <w:behaviors>
          <w:behavior w:val="content"/>
        </w:behaviors>
        <w:description w:val=""/>
        <w:guid w:val="{ede1a5d9-8e2a-4c15-86b6-8625ad12e163}"/>
      </w:docPartPr>
      <w:docPartBody>
        <w:p>
          <w:r>
            <w:rPr>
              <w:color w:val="808080"/>
            </w:rPr>
            <w:t>单击此处输入文字。</w:t>
          </w:r>
        </w:p>
      </w:docPartBody>
    </w:docPart>
    <w:docPart>
      <w:docPartPr>
        <w:name w:val="{92631986-8afe-471d-91f9-6293f85b9fa8}"/>
        <w:style w:val=""/>
        <w:category>
          <w:name w:val="常规"/>
          <w:gallery w:val="placeholder"/>
        </w:category>
        <w:types>
          <w:type w:val="bbPlcHdr"/>
        </w:types>
        <w:behaviors>
          <w:behavior w:val="content"/>
        </w:behaviors>
        <w:description w:val=""/>
        <w:guid w:val="{92631986-8afe-471d-91f9-6293f85b9fa8}"/>
      </w:docPartPr>
      <w:docPartBody>
        <w:p>
          <w:r>
            <w:rPr>
              <w:color w:val="808080"/>
            </w:rPr>
            <w:t>单击此处输入文字。</w:t>
          </w:r>
        </w:p>
      </w:docPartBody>
    </w:docPart>
    <w:docPart>
      <w:docPartPr>
        <w:name w:val="{0288a90b-c2ea-43d4-a482-bc0c2a986a0e}"/>
        <w:style w:val=""/>
        <w:category>
          <w:name w:val="常规"/>
          <w:gallery w:val="placeholder"/>
        </w:category>
        <w:types>
          <w:type w:val="bbPlcHdr"/>
        </w:types>
        <w:behaviors>
          <w:behavior w:val="content"/>
        </w:behaviors>
        <w:description w:val=""/>
        <w:guid w:val="{0288a90b-c2ea-43d4-a482-bc0c2a986a0e}"/>
      </w:docPartPr>
      <w:docPartBody>
        <w:p>
          <w:r>
            <w:rPr>
              <w:color w:val="808080"/>
            </w:rPr>
            <w:t>单击此处输入文字。</w:t>
          </w:r>
        </w:p>
      </w:docPartBody>
    </w:docPart>
    <w:docPart>
      <w:docPartPr>
        <w:name w:val="{9f7b3692-eed7-42e2-9186-b70317e5367a}"/>
        <w:style w:val=""/>
        <w:category>
          <w:name w:val="常规"/>
          <w:gallery w:val="placeholder"/>
        </w:category>
        <w:types>
          <w:type w:val="bbPlcHdr"/>
        </w:types>
        <w:behaviors>
          <w:behavior w:val="content"/>
        </w:behaviors>
        <w:description w:val=""/>
        <w:guid w:val="{9f7b3692-eed7-42e2-9186-b70317e5367a}"/>
      </w:docPartPr>
      <w:docPartBody>
        <w:p>
          <w:r>
            <w:rPr>
              <w:color w:val="808080"/>
            </w:rPr>
            <w:t>单击此处输入文字。</w:t>
          </w:r>
        </w:p>
      </w:docPartBody>
    </w:docPart>
    <w:docPart>
      <w:docPartPr>
        <w:name w:val="{d35ef7d2-2efa-4921-bc7a-a5f9422b517b}"/>
        <w:style w:val=""/>
        <w:category>
          <w:name w:val="常规"/>
          <w:gallery w:val="placeholder"/>
        </w:category>
        <w:types>
          <w:type w:val="bbPlcHdr"/>
        </w:types>
        <w:behaviors>
          <w:behavior w:val="content"/>
        </w:behaviors>
        <w:description w:val=""/>
        <w:guid w:val="{d35ef7d2-2efa-4921-bc7a-a5f9422b517b}"/>
      </w:docPartPr>
      <w:docPartBody>
        <w:p>
          <w:r>
            <w:rPr>
              <w:color w:val="808080"/>
            </w:rPr>
            <w:t>单击此处输入文字。</w:t>
          </w:r>
        </w:p>
      </w:docPartBody>
    </w:docPart>
    <w:docPart>
      <w:docPartPr>
        <w:name w:val="{13c14d9f-5da2-4290-9306-4fad95fbc645}"/>
        <w:style w:val=""/>
        <w:category>
          <w:name w:val="常规"/>
          <w:gallery w:val="placeholder"/>
        </w:category>
        <w:types>
          <w:type w:val="bbPlcHdr"/>
        </w:types>
        <w:behaviors>
          <w:behavior w:val="content"/>
        </w:behaviors>
        <w:description w:val=""/>
        <w:guid w:val="{13c14d9f-5da2-4290-9306-4fad95fbc645}"/>
      </w:docPartPr>
      <w:docPartBody>
        <w:p>
          <w:r>
            <w:rPr>
              <w:color w:val="808080"/>
            </w:rPr>
            <w:t>单击此处输入文字。</w:t>
          </w:r>
        </w:p>
      </w:docPartBody>
    </w:docPart>
    <w:docPart>
      <w:docPartPr>
        <w:name w:val="{28c5354d-d544-4f30-8895-bd85ad2af114}"/>
        <w:style w:val=""/>
        <w:category>
          <w:name w:val="常规"/>
          <w:gallery w:val="placeholder"/>
        </w:category>
        <w:types>
          <w:type w:val="bbPlcHdr"/>
        </w:types>
        <w:behaviors>
          <w:behavior w:val="content"/>
        </w:behaviors>
        <w:description w:val=""/>
        <w:guid w:val="{28c5354d-d544-4f30-8895-bd85ad2af114}"/>
      </w:docPartPr>
      <w:docPartBody>
        <w:p>
          <w:r>
            <w:rPr>
              <w:color w:val="808080"/>
            </w:rPr>
            <w:t>单击此处输入文字。</w:t>
          </w:r>
        </w:p>
      </w:docPartBody>
    </w:docPart>
    <w:docPart>
      <w:docPartPr>
        <w:name w:val="{61ee9f4f-1989-4262-950e-824ab98f964f}"/>
        <w:style w:val=""/>
        <w:category>
          <w:name w:val="常规"/>
          <w:gallery w:val="placeholder"/>
        </w:category>
        <w:types>
          <w:type w:val="bbPlcHdr"/>
        </w:types>
        <w:behaviors>
          <w:behavior w:val="content"/>
        </w:behaviors>
        <w:description w:val=""/>
        <w:guid w:val="{61ee9f4f-1989-4262-950e-824ab98f964f}"/>
      </w:docPartPr>
      <w:docPartBody>
        <w:p>
          <w:r>
            <w:rPr>
              <w:color w:val="808080"/>
            </w:rPr>
            <w:t>单击此处输入文字。</w:t>
          </w:r>
        </w:p>
      </w:docPartBody>
    </w:docPart>
    <w:docPart>
      <w:docPartPr>
        <w:name w:val="{c072847d-4255-4352-ac07-1454f91cf16e}"/>
        <w:style w:val=""/>
        <w:category>
          <w:name w:val="常规"/>
          <w:gallery w:val="placeholder"/>
        </w:category>
        <w:types>
          <w:type w:val="bbPlcHdr"/>
        </w:types>
        <w:behaviors>
          <w:behavior w:val="content"/>
        </w:behaviors>
        <w:description w:val=""/>
        <w:guid w:val="{c072847d-4255-4352-ac07-1454f91cf16e}"/>
      </w:docPartPr>
      <w:docPartBody>
        <w:p>
          <w:r>
            <w:rPr>
              <w:color w:val="808080"/>
            </w:rPr>
            <w:t>单击此处输入文字。</w:t>
          </w:r>
        </w:p>
      </w:docPartBody>
    </w:docPart>
    <w:docPart>
      <w:docPartPr>
        <w:name w:val="{9328c2d4-31d9-47e2-8904-895c16f87c9e}"/>
        <w:style w:val=""/>
        <w:category>
          <w:name w:val="常规"/>
          <w:gallery w:val="placeholder"/>
        </w:category>
        <w:types>
          <w:type w:val="bbPlcHdr"/>
        </w:types>
        <w:behaviors>
          <w:behavior w:val="content"/>
        </w:behaviors>
        <w:description w:val=""/>
        <w:guid w:val="{9328c2d4-31d9-47e2-8904-895c16f87c9e}"/>
      </w:docPartPr>
      <w:docPartBody>
        <w:p>
          <w:r>
            <w:rPr>
              <w:color w:val="808080"/>
            </w:rPr>
            <w:t>单击此处输入文字。</w:t>
          </w:r>
        </w:p>
      </w:docPartBody>
    </w:docPart>
    <w:docPart>
      <w:docPartPr>
        <w:name w:val="{14144e49-020c-4b8c-846f-4a7cf7b2a1c6}"/>
        <w:style w:val=""/>
        <w:category>
          <w:name w:val="常规"/>
          <w:gallery w:val="placeholder"/>
        </w:category>
        <w:types>
          <w:type w:val="bbPlcHdr"/>
        </w:types>
        <w:behaviors>
          <w:behavior w:val="content"/>
        </w:behaviors>
        <w:description w:val=""/>
        <w:guid w:val="{14144e49-020c-4b8c-846f-4a7cf7b2a1c6}"/>
      </w:docPartPr>
      <w:docPartBody>
        <w:p>
          <w:r>
            <w:rPr>
              <w:color w:val="808080"/>
            </w:rPr>
            <w:t>单击此处输入文字。</w:t>
          </w:r>
        </w:p>
      </w:docPartBody>
    </w:docPart>
    <w:docPart>
      <w:docPartPr>
        <w:name w:val="{977480b6-7dbf-4128-a878-18248151faf0}"/>
        <w:style w:val=""/>
        <w:category>
          <w:name w:val="常规"/>
          <w:gallery w:val="placeholder"/>
        </w:category>
        <w:types>
          <w:type w:val="bbPlcHdr"/>
        </w:types>
        <w:behaviors>
          <w:behavior w:val="content"/>
        </w:behaviors>
        <w:description w:val=""/>
        <w:guid w:val="{977480b6-7dbf-4128-a878-18248151faf0}"/>
      </w:docPartPr>
      <w:docPartBody>
        <w:p>
          <w:r>
            <w:rPr>
              <w:color w:val="808080"/>
            </w:rPr>
            <w:t>单击此处输入文字。</w:t>
          </w:r>
        </w:p>
      </w:docPartBody>
    </w:docPart>
    <w:docPart>
      <w:docPartPr>
        <w:name w:val="{b7750327-8d72-48f8-9be8-47fb4ae28cce}"/>
        <w:style w:val=""/>
        <w:category>
          <w:name w:val="常规"/>
          <w:gallery w:val="placeholder"/>
        </w:category>
        <w:types>
          <w:type w:val="bbPlcHdr"/>
        </w:types>
        <w:behaviors>
          <w:behavior w:val="content"/>
        </w:behaviors>
        <w:description w:val=""/>
        <w:guid w:val="{b7750327-8d72-48f8-9be8-47fb4ae28cce}"/>
      </w:docPartPr>
      <w:docPartBody>
        <w:p>
          <w:r>
            <w:rPr>
              <w:color w:val="808080"/>
            </w:rPr>
            <w:t>单击此处输入文字。</w:t>
          </w:r>
        </w:p>
      </w:docPartBody>
    </w:docPart>
    <w:docPart>
      <w:docPartPr>
        <w:name w:val="{fc17eaac-66e7-48fb-a118-f3a5a0135fa5}"/>
        <w:style w:val=""/>
        <w:category>
          <w:name w:val="常规"/>
          <w:gallery w:val="placeholder"/>
        </w:category>
        <w:types>
          <w:type w:val="bbPlcHdr"/>
        </w:types>
        <w:behaviors>
          <w:behavior w:val="content"/>
        </w:behaviors>
        <w:description w:val=""/>
        <w:guid w:val="{fc17eaac-66e7-48fb-a118-f3a5a0135fa5}"/>
      </w:docPartPr>
      <w:docPartBody>
        <w:p>
          <w:r>
            <w:rPr>
              <w:color w:val="808080"/>
            </w:rPr>
            <w:t>单击此处输入文字。</w:t>
          </w:r>
        </w:p>
      </w:docPartBody>
    </w:docPart>
    <w:docPart>
      <w:docPartPr>
        <w:name w:val="{49e051cb-0696-4439-8c0d-5450696bb4f5}"/>
        <w:style w:val=""/>
        <w:category>
          <w:name w:val="常规"/>
          <w:gallery w:val="placeholder"/>
        </w:category>
        <w:types>
          <w:type w:val="bbPlcHdr"/>
        </w:types>
        <w:behaviors>
          <w:behavior w:val="content"/>
        </w:behaviors>
        <w:description w:val=""/>
        <w:guid w:val="{49e051cb-0696-4439-8c0d-5450696bb4f5}"/>
      </w:docPartPr>
      <w:docPartBody>
        <w:p>
          <w:r>
            <w:rPr>
              <w:color w:val="808080"/>
            </w:rPr>
            <w:t>单击此处输入文字。</w:t>
          </w:r>
        </w:p>
      </w:docPartBody>
    </w:docPart>
    <w:docPart>
      <w:docPartPr>
        <w:name w:val="{51760433-6aa8-4681-a50d-f7d31badc43b}"/>
        <w:style w:val=""/>
        <w:category>
          <w:name w:val="常规"/>
          <w:gallery w:val="placeholder"/>
        </w:category>
        <w:types>
          <w:type w:val="bbPlcHdr"/>
        </w:types>
        <w:behaviors>
          <w:behavior w:val="content"/>
        </w:behaviors>
        <w:description w:val=""/>
        <w:guid w:val="{51760433-6aa8-4681-a50d-f7d31badc43b}"/>
      </w:docPartPr>
      <w:docPartBody>
        <w:p>
          <w:r>
            <w:rPr>
              <w:color w:val="808080"/>
            </w:rPr>
            <w:t>单击此处输入文字。</w:t>
          </w:r>
        </w:p>
      </w:docPartBody>
    </w:docPart>
    <w:docPart>
      <w:docPartPr>
        <w:name w:val="{11406aa5-c6b2-4e7a-b24d-766a50e81e6d}"/>
        <w:style w:val=""/>
        <w:category>
          <w:name w:val="常规"/>
          <w:gallery w:val="placeholder"/>
        </w:category>
        <w:types>
          <w:type w:val="bbPlcHdr"/>
        </w:types>
        <w:behaviors>
          <w:behavior w:val="content"/>
        </w:behaviors>
        <w:description w:val=""/>
        <w:guid w:val="{11406aa5-c6b2-4e7a-b24d-766a50e81e6d}"/>
      </w:docPartPr>
      <w:docPartBody>
        <w:p>
          <w:r>
            <w:rPr>
              <w:color w:val="808080"/>
            </w:rPr>
            <w:t>单击此处输入文字。</w:t>
          </w:r>
        </w:p>
      </w:docPartBody>
    </w:docPart>
    <w:docPart>
      <w:docPartPr>
        <w:name w:val="{72b58ac0-4aad-4afb-9574-0f45d2979065}"/>
        <w:style w:val=""/>
        <w:category>
          <w:name w:val="常规"/>
          <w:gallery w:val="placeholder"/>
        </w:category>
        <w:types>
          <w:type w:val="bbPlcHdr"/>
        </w:types>
        <w:behaviors>
          <w:behavior w:val="content"/>
        </w:behaviors>
        <w:description w:val=""/>
        <w:guid w:val="{72b58ac0-4aad-4afb-9574-0f45d2979065}"/>
      </w:docPartPr>
      <w:docPartBody>
        <w:p>
          <w:r>
            <w:rPr>
              <w:color w:val="808080"/>
            </w:rPr>
            <w:t>单击此处输入文字。</w:t>
          </w:r>
        </w:p>
      </w:docPartBody>
    </w:docPart>
    <w:docPart>
      <w:docPartPr>
        <w:name w:val="{c0a7b8a2-7d7b-4fd7-856b-cea0c810ef3b}"/>
        <w:style w:val=""/>
        <w:category>
          <w:name w:val="常规"/>
          <w:gallery w:val="placeholder"/>
        </w:category>
        <w:types>
          <w:type w:val="bbPlcHdr"/>
        </w:types>
        <w:behaviors>
          <w:behavior w:val="content"/>
        </w:behaviors>
        <w:description w:val=""/>
        <w:guid w:val="{c0a7b8a2-7d7b-4fd7-856b-cea0c810ef3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40</Pages>
  <Words>4214</Words>
  <Characters>24020</Characters>
  <Lines>200</Lines>
  <Paragraphs>56</Paragraphs>
  <TotalTime>1</TotalTime>
  <ScaleCrop>false</ScaleCrop>
  <LinksUpToDate>false</LinksUpToDate>
  <CharactersWithSpaces>28178</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2017-11-12T01:41:00Z</dcterms:created>
  <dc:creator>admin</dc:creator>
  <cp:lastModifiedBy>小布</cp:lastModifiedBy>
  <cp:lastPrinted>2017-11-12T03:12:00Z</cp:lastPrinted>
  <dcterms:modified xsi:type="dcterms:W3CDTF">2019-09-27T08:02:03Z</dcterms:modified>
  <dc:title>第91届全国糖酒商品交易会</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